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Még több uniós támogatás érkezhetne Magyarországra</w:t>
      </w:r>
      <w:bookmarkEnd w:id="0"/>
    </w:p>
    <w:p>
      <w:pPr/>
      <w:r>
        <w:rPr/>
        <w:t xml:space="preserve">Hivatalba lépése óta a kormány rendkívül jelentős előrelépéseket tett hazánk társadalmi, gazdasági és környezeti állapotának javítása érdekében. A további előrelépést is megkönnyítené, ha Magyarország is támogatná az ETS2 bevezetését, amely a közlekedésre és az épületfűtésre is kiterjesztené a szén-dioxid-kibocsátás árazását. Erre hívta fel Magyar Péter miniszterelnök figyelmét öt hazai civil szervezet.</w:t>
      </w:r>
    </w:p>
    <w:p>
      <w:pPr/>
      <w:r>
        <w:rPr/>
        <w:t xml:space="preserve">A Levegő Munkacsoport, Magyar Természetvédők Szövetsége, az Éghajlatvédelmi Szövetség a Green Policy Center és a Szolidáris Gazdaság Központ Egyesület kifejtette, hogy Magyarország elemi érdeke az ETS2 mielőbbi bevezetése. Ezáltal ugyanis az előzetes becslések szerint évente közel 500 milliárd forint bevételre tenne szert a kormány, amiből legalább 110 milliárd forint tiszta bevétele lehet országunknak, hiszen az ETS2-ből származó uniós bevételek egy része átcsoportosításra kerül a kevésbé fejlett tagállamok részére. Amennyiben a magyar kormány ezt visszautasítja, jóval kevésbé lenne hiteles azon követelése, hogy a következő uniós pénzügyi ciklusban (MFF 2028-2034) emeljék meg a Magyarországnak nyújtandó uniós támogatásokat. Ez felül, mivel az ETS2 bevezetése egy hatályos jogi kötelezettség, az elmulasztása uniós kötelezettségszegési eljárást, majd bírságot vonhat maga után.</w:t>
      </w:r>
    </w:p>
    <w:p>
      <w:pPr/>
      <w:r>
        <w:rPr/>
        <w:t xml:space="preserve">Amint azt számos tanulmány kimutatta, már a jelenleg működő emissziókereskedelmi rendszer (ETS1) is kedvezően vagy semlegesen hatott a tagországok versenyképességére és általában erősítette az innovációt. Az ETS2-re vonatkozó előzetes elemzések pedig azt vetítik előre, hogy az ETS2 – az ebből származó bevételek megfelelő felhasználásával együtt – tovább növelheti gazdaságunk versenyképességét.</w:t>
      </w:r>
    </w:p>
    <w:p>
      <w:pPr/>
      <w:r>
        <w:rPr/>
        <w:t xml:space="preserve">Az ETS2 egyúttal komoly lehetőséget ad arra, hogy jelentős előrelépés történjen a társadalmi egyenlőtlenségek csökkentése irányában (ami kiemelt szerepet kapott a TISZA választási programjában, és aminek érdekében a kormány már több intézkedést is hozott). A jelenlegi adó- és árrendszer ugyanis rendkívüli mértékben kedvez a vagyonosabbaknak a szerényebb anyagi helyzetben lévők rovására. Az ETS2 a bevételek célszerű felhasználásával nagymértékben mérsékelheti ezt az igazságtalanságot.</w:t>
      </w:r>
    </w:p>
    <w:p>
      <w:pPr/>
      <w:r>
        <w:rPr/>
        <w:t xml:space="preserve">A miniszterelnöknek írt levél itt olvasható.</w:t>
      </w:r>
    </w:p>
    <w:p>
      <w:pPr/>
      <w:r>
        <w:rPr/>
        <w:t xml:space="preserve">A civil szervezetek tanulmányai a témával kapcsolatban:</w:t>
      </w:r>
    </w:p>
    <w:p>
      <w:pPr/>
      <w:r>
        <w:rPr/>
        <w:t xml:space="preserve">Pozitív hatás elérése az ETS2-vel (2025)</w:t>
      </w:r>
    </w:p>
    <w:p>
      <w:pPr/>
      <w:r>
        <w:rPr/>
        <w:t xml:space="preserve">Hogyan hozható összhangba Magyarország energiaárszabályozása és az ETS2?</w:t>
      </w:r>
    </w:p>
    <w:p>
      <w:pPr/>
      <w:r>
        <w:rPr/>
        <w:t xml:space="preserve">Árthat-e a gazdaságnak az EU új kibocsátás-kereskedelmi rendszere?</w:t>
      </w:r>
    </w:p>
    <w:p>
      <w:pPr/>
      <w:r>
        <w:rPr/>
        <w:t xml:space="preserve">Ne támogassuk tovább a gazdagokat! </w:t>
      </w:r>
    </w:p>
    <w:p>
      <w:pPr/>
      <w:r>
        <w:rPr/>
        <w:t xml:space="preserve">Nagyot fog drágulni a fűtés és az autózás, ha nem lépünk időben  </w:t>
      </w:r>
    </w:p>
    <w:p>
      <w:pPr/>
      <w:r>
        <w:rPr/>
        <w:t xml:space="preserve">Igazságosabb rezsicsökkentés 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https://hellosajto.hu/?p=33928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D4FD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2026-11-02T19:43:17+00:00</dcterms:created>
  <dcterms:modified xsi:type="dcterms:W3CDTF">2026-11-02T19:43:17+00:00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