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 nagy sebességű vasút fejlesztése segíti az EU kohézióját és versenyképességét</w:t>
      </w:r>
      <w:bookmarkEnd w:id="0"/>
    </w:p>
    <w:p>
      <w:pPr/>
      <w:r>
        <w:rPr/>
        <w:t xml:space="preserve">A vasút stratégiai fontosságú eszköz a közlekedési módok közötti átállás, a klímasemlegesség és a stratégiai autonómia szempontjából</w:t>
      </w:r>
    </w:p>
    <w:p>
      <w:pPr/>
      <w:r>
        <w:rPr/>
        <w:t xml:space="preserve">A következő hosszú távú uniós költségvetésben megfelelő és célzott finanszírozásra van szükség</w:t>
      </w:r>
    </w:p>
    <w:p>
      <w:pPr/>
      <w:r>
        <w:rPr/>
        <w:t xml:space="preserve">Kulcsfontosságú a megfizethetőség és az átlátható jegyértékesítés</w:t>
      </w:r>
    </w:p>
    <w:p>
      <w:pPr/>
      <w:r>
        <w:rPr/>
        <w:t xml:space="preserve">Az uniós vasúti ágazat több mint 1,3 millió munkavállalót foglalkoztat a gyártás, a vasútépítés, a karbantartás és az üzemeltetés területén</w:t>
      </w:r>
    </w:p>
    <w:p>
      <w:pPr/>
      <w:r>
        <w:rPr/>
        <w:t xml:space="preserve">Kedden a Parlament jóváhagyta az EU nagy sebességű vasúti hálózatának gyorsabb fejlesztésére és a területi kohézió erősítésére vonatkozó ajánlásait.</w:t>
      </w:r>
    </w:p>
    <w:p>
      <w:pPr/>
      <w:r>
        <w:rPr/>
        <w:t xml:space="preserve">A Parlament 558 szavazattal, 23 ellenszavazattal és 73 tartózkodás mellett elfogadott jelentése a Bizottság tavalyi cselekvési tervére reagálva egy valódi európai nagy sebességű vasúthálózat létrehozását szorgalmazza. A hálózatnak interoperábilisnak, innovatívnak, hozzáférhetőnek és más közlekedési módokkal összehangoltnak kell lennie, hogy valódi értéket teremtsen a polgárok és a közberuházások számára egyaránt.</w:t>
      </w:r>
    </w:p>
    <w:p>
      <w:pPr/>
      <w:r>
        <w:rPr/>
        <w:t xml:space="preserve">A városok és régiók jobb összekapcsolása</w:t>
      </w:r>
    </w:p>
    <w:p>
      <w:pPr/>
      <w:r>
        <w:rPr/>
        <w:t xml:space="preserve">A képviselők azt szeretnék, ha a nagy sebességű vasúthálózat nemcsak az EU fővárosait, hanem valamennyi európai régió főbb városi központjait és a legfontosabb szomszédos országokat is összekötné. Ez közvetlen nagy sebességű járatokkal, illetve a nagy sebességű hálózathoz való hatékony csatlakozás biztosításával valósulhatna meg. Az EP-képviselők szerint ez hozzájárulna a területi egyenlőtlenségek csökkentéséhez, illetve a peremterületek és a kevésbé fejlett régiók összeköttetésének megerősítéséhez.</w:t>
      </w:r>
    </w:p>
    <w:p>
      <w:pPr/>
      <w:r>
        <w:rPr/>
        <w:t xml:space="preserve">Az EP jelentése támogatja a transzeurópai közlekedési hálózat (TEN-T) kiteljesítését, valamint a hiányzó összeköttetések, az elhagyott vagy rosszul ellátott szakaszok, illetve a magas hozzáadott értékkel rendelkező, határokon átnyúló összeköttetések azonosítását.</w:t>
      </w:r>
    </w:p>
    <w:p>
      <w:pPr/>
      <w:r>
        <w:rPr/>
        <w:t xml:space="preserve">Elegendő, kiszámítható és hosszú távú finanszírozás</w:t>
      </w:r>
    </w:p>
    <w:p>
      <w:pPr/>
      <w:r>
        <w:rPr/>
        <w:t xml:space="preserve">A képviselők azt szeretnék, ha az ágazat teljes mértékben kihasználná a meglévő és jövőbeli uniós forrásokat a nagy sebességű vasúti hálózat fejlesztésére. Azt szeretnék, ha a 2028-2034-es időszakra vonatkozó többéves pénzügyi keret megfelelő és célzott finanszírozást biztosítana, többek között az Európai Hálózatfinanszírozási Eszköz (CEF) megőrzése és megerősítése, illetve a nemzeti terveken keresztül történő beruházások támogatása révén.</w:t>
      </w:r>
    </w:p>
    <w:p>
      <w:pPr/>
      <w:r>
        <w:rPr/>
        <w:t xml:space="preserve">Megfizethető és átlátható vonatjegyek</w:t>
      </w:r>
    </w:p>
    <w:p>
      <w:pPr/>
      <w:r>
        <w:rPr/>
        <w:t xml:space="preserve">Az EP-képviselők szerint a hozzáférhető és megfizethető vasúti szolgáltatások elengedhetetlenek a közlekedési szegénység csökkentéséhez és az EU-szerte egyenlő mobilitás biztosításához. Arra ösztönzik az országokat és a vasúttársaságokat, hogy tegyék megfizethetőbbé a nagy sebességű vonatjegyeket, többek között hozzáférhető viteldíjak és megfelelő kedvezményes vagy bérleti rendszerek révén. A jelentés emellett nagyobb átláthatóságot szorgalmaz a jegyárak kialakításában, és üdvözli a Bizottság által nemrég javasolt utascsomaggal kapcsolatos folyamatban lévő jogalkotási munkát, amely várhatóan interoperábilis, átlátható, hozzáférhető és könnyen összehasonlítható vasúti jegyajánlatokat eredményez majd.</w:t>
      </w:r>
    </w:p>
    <w:p>
      <w:pPr/>
      <w:r>
        <w:rPr/>
        <w:t xml:space="preserve">A jelentéstevő szerint</w:t>
      </w:r>
    </w:p>
    <w:p>
      <w:pPr/>
      <w:r>
        <w:rPr/>
        <w:t xml:space="preserve">Vicent Marzà Ibáñez (Zöldek/EFA, Spanyolország) jelentéstevő elmondta: „Az európai nagyvárosok közötti nagy sebességű vasúti összeköttetés lehetővé teszi, hogy az utasok tömegesen váltsanak át a repülőgépről a vonatra. Ez kulcsfontosságú eleme annak, hogy csökkentsük a fosszilis tüzelőanyagoktól való függőségünket, tisztességes munkahelyeket teremtsünk, és jelentősen növeljük stratégiai autonómiánkat. Ehhez megfelelő beruházásokra van szükség az egész EU-ban, beleértve a zöld vasúti kötvények felhasználását is, és ez nem mehet a mindennapi életben használt elővárosi és regionális vasúti szolgáltatások rovására.” </w:t>
      </w:r>
    </w:p>
    <w:p>
      <w:pPr/>
      <w:r>
        <w:rPr/>
        <w:t xml:space="preserve">Háttér</w:t>
      </w:r>
    </w:p>
    <w:p>
      <w:pPr/>
      <w:r>
        <w:rPr/>
        <w:t xml:space="preserve">2025 novemberében a Bizottság nagy sebességű vasútra vonatkozó cselekvési tervet fogadott el, amely meghatározza a gyorsabb, interoperábilisabb és jobban összekapcsolt európai hálózat 2040-ig történő létrehozásához szükséges lépéseket. 2014 óta az uniós programokból több mint 100 milliárd eurót különítettek el vasúti infrastrukturális projektekre.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Zalán Eszter sajtóreferens</w:t>
      </w:r>
    </w:p>
    <w:p>
      <w:pPr>
        <w:numPr>
          <w:ilvl w:val="0"/>
          <w:numId w:val="1"/>
        </w:numPr>
      </w:pPr>
      <w:r>
        <w:rPr/>
        <w:t xml:space="preserve">+32 228 40081 (BXL)</w:t>
      </w:r>
    </w:p>
    <w:p>
      <w:pPr>
        <w:numPr>
          <w:ilvl w:val="0"/>
          <w:numId w:val="1"/>
        </w:numPr>
      </w:pPr>
      <w:r>
        <w:rPr/>
        <w:t xml:space="preserve">eszter.zalan@europarl.europa.eu</w:t>
      </w:r>
    </w:p>
    <w:p>
      <w:pPr/>
      <w:r>
        <w:rPr/>
        <w:t xml:space="preserve">Eredeti tartalom: Európai Parlament Magyarországi Kapcsolattartó Irodája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https://hellosajto.hu/?p=33709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2026-10-21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Európai Parlament Magyarországi Kapcsolattartó Irodája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47D6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2026-10-20T18:27:34+00:00</dcterms:created>
  <dcterms:modified xsi:type="dcterms:W3CDTF">2026-10-20T18:27:34+00:00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