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Hazánk külső egyensúlyi mutatói 2026 első felében is kedvezőek voltak</w:t>
      </w:r>
      <w:bookmarkEnd w:id="0"/>
    </w:p>
    <w:p>
      <w:pPr/>
      <w:r>
        <w:rPr/>
        <w:t xml:space="preserve">A 2025-ös enyhe emelkedést követően 2026 első felében mérséklődött Magyarország külső pozíciója. A GDP-arányos külső finanszírozási képesség 1,6 százalékos szintje jelentősen meghaladja a régióban jellemző értéket. Részben a magyar gazdasággal kapcsolatos optimizmusnak is köszönhetően a külső adósságráták emelkedtek, de továbbra is viszonylag alacsony szinten alakulnak. A nemzetközi tartalék 2026 közepén is nagymértékben meghaladta a rövid külső adósság szintjét.</w:t>
      </w:r>
    </w:p>
    <w:p>
      <w:pPr/>
      <w:r>
        <w:rPr/>
        <w:t xml:space="preserve">A 2025-ös enyhe emelkedést követően 2026 első felében mérséklődött Magyarország külső pozíciója. 2026 második negyedévében a folyó fizetési mérleg éves többlete a GDP 1 százalékára mérséklődött, ami elsősorban a gyenge német ipari termelés miatt visszafogott exportteljesítmény áruegyenleget rontó hatásához köthető. A tőkemérleg többletét is figyelembe véve a gazdaság négy negyedéves külső finanszírozási képessége a GDP 1,6 százalékát tette ki, ami jelentősen meghaladja a régióban jellemző szintet.</w:t>
      </w:r>
    </w:p>
    <w:p>
      <w:pPr/>
      <w:r>
        <w:rPr/>
        <w:t xml:space="preserve">A külső pozíció 2025 közepe óta tapasztalható romlása a szektorok megtakarításai szerint vizsgálva döntően az államháztartás hiányának emelkedésére vezethető vissza. A háztartások pénzügyi megtakarítása – a 2025-ös csökkenés után – 2026 első negyedévében emelkedést mutatott. A vállalati szektor pozíciója 2026 első felében a működési eredmény csökkenésének és a felhalmozási kiadások növekedésének hatására újból finanszírozási igényt jelzett.</w:t>
      </w:r>
    </w:p>
    <w:p>
      <w:pPr/>
      <w:r>
        <w:rPr/>
        <w:t xml:space="preserve">Az elmúlt időszakban visszafogott nettó FDI-beáramlás mellett a nettó külső adósságráta 2026 közepére a GDP közel 16 százalékára emelkedett, amihez azonban a hazai gazdasággal kapcsolatos optimizmus is hozzájárult. A külföldiek nettó forint államkötvény és jegybanki diszkontkötvény vásárlása ugyanis historikus csúcsra ugrott, miközben a hozamok mérséklődése is az állami külső adósság bővülésének irányába hatott. A nemzetközi tartalék állománya 2026 júniusában 60 milliárd euro fölé emelkedett, így nagymértékben, több mint 14 milliárd euróval haladta meg a befektetők által kiemelten figyelt rövid külső adósság szintjét.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https://hellosajto.hu/?p=33604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66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2026-10-15T18:49:50+00:00</dcterms:created>
  <dcterms:modified xsi:type="dcterms:W3CDTF">2026-10-15T18:49:50+00:00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