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Az EP elfogadta prioritásait az EU első korrupcióellenes stratégiájához</w:t>
      </w:r>
      <w:bookmarkEnd w:id="0"/>
    </w:p>
    <w:p>
      <w:pPr/>
      <w:r>
        <w:rPr/>
        <w:t xml:space="preserve">Szigorúbb szabályok az összeférhetetlenség, a politikai finanszírozás és a forgóajtó-jelenség kezelésére</w:t>
      </w:r>
    </w:p>
    <w:p>
      <w:pPr/>
      <w:r>
        <w:rPr/>
        <w:t xml:space="preserve">Jobb határokon átívelő együttműködés, végrehajtás és vagyonvisszaszerzés</w:t>
      </w:r>
    </w:p>
    <w:p>
      <w:pPr/>
      <w:r>
        <w:rPr/>
        <w:t xml:space="preserve">A független szervek, újságírók, bírák és visszaélést bejelentő személyek védelme</w:t>
      </w:r>
    </w:p>
    <w:p>
      <w:pPr/>
      <w:r>
        <w:rPr/>
        <w:t xml:space="preserve">Közös nyomon követés és szigorúbb jogállamisági feltételrendszer</w:t>
      </w:r>
    </w:p>
    <w:p>
      <w:pPr/>
      <w:r>
        <w:rPr/>
        <w:t xml:space="preserve">Az EP elfogadta a Bizottság készülő korrupcióellenes stratégiájával kapcsolatos prioritásait. A cél a megelőzés, a szabályok érvényesítésének megerősítése, és az integritás előmozdítása.</w:t>
      </w:r>
    </w:p>
    <w:p>
      <w:pPr/>
      <w:r>
        <w:rPr/>
        <w:t xml:space="preserve">A csütörtökön kézfeltartással elfogadott állásfoglalásban a Parlament kijelenti, hogy a korrupcióellenes stratégiának foglalkoznia kell a szervezett bűnözéshez és az új technológiákhoz kapcsolódó, folyamatosan változó korrupciós kockázatokkal, miután a korrupcióellenes irányelv 2026. májusában hatályba lépett.</w:t>
      </w:r>
    </w:p>
    <w:p>
      <w:pPr/>
      <w:r>
        <w:rPr/>
        <w:t xml:space="preserve">A korrupció aláássa a polgárok bizalmát, komoly fenyegetést jelent a demokráciára nézve, gyengíti a jogállamiságot, torzítja a gazdasági tevékenységet, és lehetőséget teremt a szervezett bűnözésnek és az ellenséges szereplők számára. Az EP-képviselők arra figyelmeztetnek, hogy a büntetlenség látszata ugyanolyan káros hatással lehet a demokratikus legitimitásra, mint maga a korrupció.</w:t>
      </w:r>
    </w:p>
    <w:p>
      <w:pPr/>
      <w:r>
        <w:rPr/>
        <w:t xml:space="preserve">Megelőzés és integritás</w:t>
      </w:r>
    </w:p>
    <w:p>
      <w:pPr/>
      <w:r>
        <w:rPr/>
        <w:t xml:space="preserve">A Parlament a korrupciós kockázatok tényeken alapuló feltérképezését, és képzések szervezését sürgeti. Emellett a közbeszerzésre, a vissza nem térítendő támogatásokra és az átláthatóságra vonatkozó szabályok szigorítására szólít fel. A képviselők az összeférhetetlenségre, az ajándékokra, a szponzorált utazásokra, a vagyonnyilatkozatokra és a forgóajtó-jelenségre vonatkozó harmonizáltabb normákat, illetve egyértelműbb lobbiszabályokat is kérnek. Közös szabályokat szorgalmaznak a politikai finanszírozásra, a politikai alapítványok és közvetítők átláthatóságára, valamint a politikai pártok finanszírozásának ellenőrzésére és közzétételére vonatkozóan. Az uniós intézményeket szigorú korrupcióellenes szabványoknak kell alávetni, amelyeket más uniós intézmények által végzett rendszeres felülvizsgálat és a vonatkozó uniós szabályok esetleges módosítása támogatna.</w:t>
      </w:r>
    </w:p>
    <w:p>
      <w:pPr/>
      <w:r>
        <w:rPr/>
        <w:t xml:space="preserve">Végrehajtás és határokon átnyúló fellépés</w:t>
      </w:r>
    </w:p>
    <w:p>
      <w:pPr/>
      <w:r>
        <w:rPr/>
        <w:t xml:space="preserve">A képviselők szorosabb együttműködést és adatmegosztást szorgalmaznak a nemzeti hatóságok és az uniós szervek, köztük az Europol, az Eurojust, az Európai Ügyészség (EPPO) és az Európai Csalás Elleni Hivatal (OLAF) között. A korrupcióellenes szerveknek függetlennek kell lenniük és megfelelő forrásokkal kell rendelkezniük, míg az Európai Ügyészségnek több forrást kell kapnia a határokon átnyúló súlyos korrupcióra – és azoknak a tagállamoknak, amelyek még nem csatlakoztak a szervezethez, ezt meg kell tenniük.</w:t>
      </w:r>
    </w:p>
    <w:p>
      <w:pPr/>
      <w:r>
        <w:rPr/>
        <w:t xml:space="preserve">A Parlament összekapcsolja a korrupciót a szervezett bűnözéssel, a pénzmosással és a vagyoni eszközök elrejtésével, és határozottabb fellépésre szólít fel a bűncselekményekből származó jövedelmek felkutatása, befagyasztása, elkobzása és visszaszerzése érdekében. Kiemeli továbbá a kriptovalutákhoz, az átláthatatlan tulajdonosi struktúrákhoz és a digitális eszközökhöz kapcsolódó kockázatokat, miközben megismétli felhívását a befektetői tartózkodási engedély („aranyvízum”) programok fokozatos megszüntetésére.</w:t>
      </w:r>
    </w:p>
    <w:p>
      <w:pPr/>
      <w:r>
        <w:rPr/>
        <w:t xml:space="preserve">Az ellenőrző szervezetek szerepe</w:t>
      </w:r>
    </w:p>
    <w:p>
      <w:pPr/>
      <w:r>
        <w:rPr/>
        <w:t xml:space="preserve">A képviselők kérik, hogy a civil társadalmat és a korrupcióellenes megfigyelő szervezetek vonják be a stratégia valamennyi szakaszába, erősítsék meg a visszaélést bejelentő személyek és az oknyomozó újságírók védelmét, illetve a független igazságügyi és korrupcióellenes hatóságokat. A Parlament szorgalmazza, hogy az EU teljes jogú tagja legyen az Európa Tanács Korrupció Elleni Államok Csoportjának (GRECO), hogy az uniós intézmények ugyanolyan ellenőrzésnek legyenek alávetve, mint a nemzeti hatóságok.</w:t>
      </w:r>
    </w:p>
    <w:p>
      <w:pPr/>
      <w:r>
        <w:rPr/>
        <w:t xml:space="preserve">Nyomon követés</w:t>
      </w:r>
    </w:p>
    <w:p>
      <w:pPr/>
      <w:r>
        <w:rPr/>
        <w:t xml:space="preserve">A képviselők közös mutatókat szeretnének a korrupcióellenes politikák értékeléséhez, és konkrétabb, mérhető ajánlásokat a Bizottság éves jogállamisági jelentéseiben. Emellett szigorúbb jogállamisági feltételrendszert szorgalmaznak a következő hosszú távú uniós költségvetésben, és adott esetben korrupcióellenes célokat az uniós finanszírozású programokban.</w:t>
      </w:r>
    </w:p>
    <w:p>
      <w:pPr/>
      <w:r>
        <w:rPr/>
        <w:t xml:space="preserve">Háttér</w:t>
      </w:r>
    </w:p>
    <w:p>
      <w:pPr/>
      <w:r>
        <w:rPr/>
        <w:t xml:space="preserve">Becslések szerint az EU további korrupcióellenes intézkedései évente akár 58,5 milliárd eurónyi gazdasági hasznot is hozhatnának. Egy 2025. évi Eurobarométer felmérés szerint az európaiak 69 százaléka véli úgy, hogy a korrupció széles körben elterjedt az országában. Az Europol szerint a bűnözői hálózatok közel 60 százaléka vesz részt valamilyen módon korrupcióban.</w:t>
      </w:r>
    </w:p>
    <w:p>
      <w:pPr/>
      <w:r>
        <w:rPr/>
        <w:t xml:space="preserve">REF: 20261002IPR47905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Zalán Eszter sajtóreferens</w:t>
      </w:r>
    </w:p>
    <w:p>
      <w:pPr>
        <w:numPr>
          <w:ilvl w:val="0"/>
          <w:numId w:val="1"/>
        </w:numPr>
      </w:pPr>
      <w:r>
        <w:rPr/>
        <w:t xml:space="preserve">+32 228 40081 (BXL)</w:t>
      </w:r>
    </w:p>
    <w:p>
      <w:pPr>
        <w:numPr>
          <w:ilvl w:val="0"/>
          <w:numId w:val="1"/>
        </w:numPr>
      </w:pPr>
      <w:r>
        <w:rPr/>
        <w:t xml:space="preserve">eszter.zalan@europarl.europa.eu</w:t>
      </w:r>
    </w:p>
    <w:p>
      <w:pPr/>
      <w:r>
        <w:rPr/>
        <w:t xml:space="preserve">Eredeti tartalom: Európai Parlament Magyarországi Kapcsolattartó Irodája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https://hellosajto.hu/?p=33409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Európai Parlament Magyarországi Kapcsolattartó Irodája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CC71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2026-10-08T17:05:55+00:00</dcterms:created>
  <dcterms:modified xsi:type="dcterms:W3CDTF">2026-10-08T17:05:55+00:00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