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Közlemény a Monetáris Tanács 2026. szeptember 22-i üléséről</w:t>
      </w:r>
      <w:bookmarkEnd w:id="0"/>
    </w:p>
    <w:p>
      <w:pPr/>
      <w:r>
        <w:rPr/>
        <w:t xml:space="preserve">1) A Monetáris Tanács a 2026. szeptember 22-i ülésén a gazdasági és pénzügyi folyamatokat áttekintve 2026. szeptember 23-i hatállyal a jegybanki kamatlábaknak az alábbi szerkezetéről döntött:</w:t>
      </w:r>
    </w:p>
    <w:p>
      <w:pPr/>
      <w:r>
        <w:rPr/>
        <w:t xml:space="preserve">Jegybanki eszközKamatláb mértékeKorábbi mérték (százalék)Változás (bázispont)Új mérték (százalék)Jegybanki alapkamat5,50nem változott5,50O/N jegybanki betétJegybanki alapkamat – 1,00 százalékpont4,50nem változott4,50O/N fedezett hitelJegybanki alapkamat + 1,00 százalékpont6,50nem változott6,50</w:t>
      </w:r>
    </w:p>
    <w:p>
      <w:pPr/>
      <w:r>
        <w:rPr/>
        <w:t xml:space="preserve">2) Az ülés rövidített jegyzőkönyve 2026. október 7-én 14 órakor jelenik meg.</w:t>
      </w:r>
    </w:p>
    <w:p>
      <w:pPr/>
      <w:r>
        <w:rPr/>
        <w:t xml:space="preserve">Indoklás</w:t>
      </w:r>
    </w:p>
    <w:p>
      <w:pPr/>
      <w:r>
        <w:rPr/>
        <w:t xml:space="preserve">A Magyar Nemzeti Bank (MNB) elsődleges célja az árstabilitás elérése és fenntartása. Az inflációs cél 2028. január 1-jétől 2,5 százalékra módosul, melynek hátteréről az MNB külön közleményt és tájékoztatót publikál. A jegybank elsődleges céljának veszélyeztetése nélkül támogatja a pénzügyi stabilitás fenntartását és a Kormány gazdaság-, illetve környezeti fenntarthatósággal kapcsolatos politikáját.</w:t>
      </w:r>
    </w:p>
    <w:p>
      <w:pPr/>
      <w:r>
        <w:rPr/>
        <w:t xml:space="preserve">A globális befektetői hangulatot továbbra is nagyrészt a geopolitikai fejlemények és a fejlett piaci adósságpályák fenntarthatóságával kapcsolatos kockázatok határozzák meg. Az elmúlt hetekben a világpiaci olajárak és az európai gázárak emelkedtek.</w:t>
      </w:r>
    </w:p>
    <w:p>
      <w:pPr/>
      <w:r>
        <w:rPr/>
        <w:t xml:space="preserve">Szeptemberben az Európai Központi Bank, a Federal Reserve és a Bank of Japan egyaránt 25 bázisponttal emelte az irányadó rátákat. A piaci árazások szerint mindhárom jegybank tovább emelheti az irányadó kamatokat. A régióban a cseh és a lengyel jegybank az irányadó kamat tartásáról döntött szeptemberben. A fejlett piaci hosszú hozamok historikus összevetésben továbbra is magasak.</w:t>
      </w:r>
    </w:p>
    <w:p>
      <w:pPr/>
      <w:r>
        <w:rPr/>
        <w:t xml:space="preserve">A hazai GDP második negyedévi 1,7 százalékos bővüléséhez főként a szolgáltató szektor és az ipari termelés járult hozzá, miközben a mezőgazdaság fékezte azt. Júliusban a kiskereskedelmi forgalom és az ipari termelés egyaránt nőtt. A munkanélküliségi ráta nemzetközi összevetésben továbbra is alacsony, a reálbérek növekedése élénk.</w:t>
      </w:r>
    </w:p>
    <w:p>
      <w:pPr/>
      <w:r>
        <w:rPr/>
        <w:t xml:space="preserve">Az idei gazdasági növekedést a rendkívüli aszály miatt visszaeső mezőgazdasági teljesítmény mérsékli, amit a magasabb ipari exportteljesítmény részben ellensúlyoz. A szeptemberi előrejelzés alapján a magyar GDP 2026-ban 1,8 százalékkal, 2027-ben 2,9 százalékkal, 2028-ban pedig 2,8 százalékkal emelkedik. A folyó fizetési mérleg egyenlege idén egyensúly közelében alakul, majd a következő két évben enyhe többletet mutat.</w:t>
      </w:r>
    </w:p>
    <w:p>
      <w:pPr/>
      <w:r>
        <w:rPr/>
        <w:t xml:space="preserve">Augusztusban az infláció 1,3 százalékon, az elemzői várakozások, illetve a júniusi Inflációs jelentés előrejelzése alatt alakult. A maginfláció 2 százalék volt. Az élelmiszerek inflációja mérséklődött, míg az iparcikkek és a piaci szolgáltatások éves alapú árindexe nőtt. A fogyasztói árak havi összevetésben tapasztalt emelkedése a júliusi árcsökkenés részbeni korrekciójának tekinthető, többhavi viszonylatban az átárazások továbbra is mérsékeltek. A lakossági inflációs várakozások, valamint a kiskereskedelmi értékesítésekre és a szolgáltatásokra vonatkozó vállalati árvárakozások mérséklődtek az év elejéhez képest.</w:t>
      </w:r>
    </w:p>
    <w:p>
      <w:pPr/>
      <w:r>
        <w:rPr/>
        <w:t xml:space="preserve">A szeptemberi előrejelzés idei évre vonatkozó inflációs rátája nem változott a júniusi Inflációs jelentésben várthoz képest, míg 2027-re vonatkozóan emelkedett. 2026-ban a tavaszi hónapokban tapasztalt forinterősödés korábban vártnál gyorsabb begyűrűzését a magasabb üzemanyagárak ellensúlyozzák. A jövő év során az energiaárak növekedéséből fakadó hatások és a dohánytermékek jövedéki adójának módosulása emelik az inflációs előrejelzést. Éves átlagban idén 1,8 százalékon, 2027-ben pedig 3,1 százalékon alakul az áremelkedés üteme. Az infláció a monetáris politikai horizont végére a 2,5 százalékos jegybanki célra mérséklődik.</w:t>
      </w:r>
    </w:p>
    <w:p>
      <w:pPr/>
      <w:r>
        <w:rPr/>
        <w:t xml:space="preserve">A Monetáris Tanács kockázati értékelése alapján a szeptemberi előrejelzés alappályáját kiegyensúlyozott inflációs és növekedési kockázatok övezik. A Tanács által kiemelt kockázati pályák a geopolitikai feszültségek és a klímaváltozás következtében tartósan emelkedő energia- és élelmiszerárakkal, tartósan magas bérdinamikával és szolgáltatásinflációval, alacsonyabb hazai kockázati prémiummal, valamint a vártnál lassabban javuló nemzetközi konjunktúrával számolnak.</w:t>
      </w:r>
    </w:p>
    <w:p>
      <w:pPr/>
      <w:r>
        <w:rPr/>
        <w:t xml:space="preserve">Bár az infláció a jegybanki cél alatt alakul, a magas energiaárak, valamint a bizonytalan világgazdasági és pénzügyi piaci környezet óvatos monetáris politikai megközelítést indokolnak. Előretekintve a hazai kockázati megítélést a költségvetési pályára és az euróbevezetésre vonatkozó várakozások, illetve a külső piaci környezet befolyásolja leginkább.</w:t>
      </w:r>
    </w:p>
    <w:p>
      <w:pPr/>
      <w:r>
        <w:rPr/>
        <w:t xml:space="preserve">A Monetáris Tanács megítélése szerint az inflációs cél fenntartható elérése érdekében a jelenlegi kamatkondíciók tartása szükséges. A Tanács mai ülésén az alapkamatot 5,50 százalékon tartotta. Az O/N betéti kamat 4,50 százalékos és az O/N hitelkamat 6,50 százalékos szintje is változatlan maradt.</w:t>
      </w:r>
    </w:p>
    <w:p>
      <w:pPr/>
      <w:r>
        <w:rPr/>
        <w:t xml:space="preserve">A Monetáris Tanács elkötelezett az inflációs cél fenntartható elérése mellett. A pozitív reálkamat mellett a pénzügyi piacok, kiemelten a devizapiac stabilitásának fenntartása támogatja az inflációs várakozások horgonyzását, ezáltal hozzájárulva az árstabilitási cél eléréséhez. A Tanács folyamatosan értékeli az inflációs kilátásokat, a globális fejleményeket és a hazai kockázati felárakat, amelyek alapján körültekintően és adatvezérelten dönt az alapkamat mértékéről.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https://hellosajto.hu/?p=33100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35A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2026-09-22T17:32:12+00:00</dcterms:created>
  <dcterms:modified xsi:type="dcterms:W3CDTF">2026-09-22T17:32:12+00:00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