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bookmarkStart w:id="0" w:name="_Toc0"/><w:r><w:t>Már az átutalások harmada mobilbankból indul</w:t></w:r><w:bookmarkEnd w:id="0"/></w:p><w:p><w:pPr/><w:r><w:rPr/><w:t xml:space="preserve">2026 második negyedévében az előző év azonos időszakához képest a forint átutalások összértéke 17,2 százalékkal nőtt. Tovább növekedett a mobilbanki átutalások használata, a negyedév során az utalásoknak már több mint harmadát mobilbanki alkalmazásból indították. A negyedév során összesen 4,6 millió qvik fizetés teljesült 1 144 milliárd forint értékben. Ezek értékének túlnyomó részét (91,2 százalékát) továbbra is a qvik kérelemre válaszul teljesített utalások adták, miközben a darabszám közel felét (47,4 százalékát) a qvik QR, NFC és Link fizetések tették ki. 2025 második negyedévhez képest a kártyás vásárlások száma 10,3, értéke pedig 16,8 százalékkal növekedett, legnagyobb mértékben a külföldi vásárlási forgalom bővült. A készpénzfelvételi forgalom darabszámban 6,6 százalékkal csökkent, viszont értékben 7,2 százalékkal nőtt. Az előző negyedévhez képest a fizetési kártyás visszaélések száma 8 százalékkal nőtt, míg ezek összértéke érdemben nem változott.</w:t></w:r></w:p><w:p><w:pPr/><w:r><w:rPr/><w:t xml:space="preserve">Ezzel szemben az átutalási forgalomban bekövetkezett visszaélések száma 8,4, értéke pedig 27,9 százalékkal lett magasabb. A növekedés teljes egészében a vállalati szektorhoz kötődött, míg a lakossági szektorban az átutalásos visszaélések összértéke 400 millió forinttal (15,4 százalékkal) csökkent. Az előző év azonos időszakához képest a hazai szolgáltatók pénzforgalmi bevételei 0,7 százalékkal, 292 milliárd forintra növekedtek. Ezen belül a hazai pénzforgalmi szolgáltatók kártyaelfogadási bevételei 6,9 százalékkal nőttek. Továbbra is több ügyfélszegmens számára is elérhetőek ingyenes számlacsomagok. 2026 második negyedévében a fizetési rendszerek forgalma tekintetében növekedés volt tapasztalható mind a VIBER, mind a Bankközi Klíring Rendszer vonatkozásában. A pénzforgalmi likviditás szintje 2026 második negyedévében mérsékelten csökkent, ugyanakkor annak szintje továbbra is bőséges.</w:t></w:r></w:p><w:p><w:pPr/><w:r><w:rPr/><w:t xml:space="preserve">2026 második negyedéve végén egy jelentős méretű új szereplő lépett a hazai pénzforgalmi piacra. A piaci szerkezet változásának hatása egyelőre elsősorban az infrastruktúra táblákban jelentkezik, ahol így az adatok a korábbi időszakokkal csak korlátozottan összehasonlíthatók. A forgalmi, bevételi és visszaélési adatokra várhatóan a következő negyedévtől lesz érdemi hatással a változás.</w:t></w:r></w:p><w:p><w:pPr/><w:r><w:rPr/><w:t xml:space="preserve">A negyedév végén a hazai pénzforgalmi szolgáltatók (az eddigiekkel összhangban ide értve a fióktelepeket is) által vezetett számlák száma 14 millió darab volt, míg az ügyfelek összesen 13,2 millió darab fizetési kártyát birtokoltak ezen szolgáltatóknál (az eddigiekkel összhangban beleértve a fizikailag nem kibocsátott kártyákat is). A hazai szolgáltatók kártya elfogadó hálózatában 153 ezer fizikai kereskedői elfogadóhelyen összesen 262 ezer POS terminál működött, valamint 89 ezer online kártya elfogadóhely volt. A negyedév végén közel 5 700 darab ATM üzemelt az országban.</w:t></w:r></w:p><w:p><w:pPr/><w:r><w:rPr/><w:t xml:space="preserve">A forint (egyedi és csoportos) átutalások darabszáma éves alapon 4,2, összértéke pedig 17,2 százalékkal bővült, míg a deviza átutalásoké 5,8, illetve 3,1 százalékkal nőtt. Így a negyedév során összesen majdnem 131 millió átutalás történt 304 ezer milliárd forint értékben. Tovább növekedett a mobilbanki átutalások használata, előző év azonos időszakához képest darabszámban 16,7, értékben pedig 17,4 százalékkal. Ezzel a negyedév során már az átutalások harmada mobilbankból indult.</w:t></w:r></w:p><w:p><w:pPr/><w:r><w:rPr/><w:t xml:space="preserve">Egy év alatt az azonnali átutalások száma 6,4, értéke pedig 6,6 százalékkal nőtt. Ezen belül továbbra is jelentős a qvik forgalom bővülése, már egy negyedév alatt is 22,2, illetve 21,3 százalékkal nőtt ezek darabszáma és értéke. Így a negyedév során összesen 4,6 millió qvik fizetés teljesült 1 144 milliárd forint értékben. A qvik fizetések értékének túlnyomó részét (91,2 százalékát) továbbra is a qvik kérelemre válaszul teljesített utalások adták, annak ellenére, hogy ezek a darabszámnak csak az 52,6 százalékát tették ki. A qvik kérelmek darabszáma 19,5, értéke pedig 21,9 százalékkal bővült egy negyedév alatt. Ugyanezen időszakban a qvik QR, NFC és Link fizetések darabszáma 25,3, értéke pedig 16 százalékkal nőtt.</w:t></w:r></w:p><w:p><w:pPr/><w:r><w:rPr/><w:t xml:space="preserve">A negyedév során a hazai szolgáltatók fizetési kártyáival 588 millió vásárlás történt, összesen 6,8 ezer milliárd forint értékben. Ez 2025 második negyedévhez képest 10,3, illetve 16,8 százalékos növekedést jelent. Továbbra is jelentős mértékben növekszik a (fintech számlafeltöltéseket is tartalmazó) külföldi kártyás vásárlások aránya, a negyedév során ezek már az összes kártyás vásárlás értékének majdnem negyedét tették ki.</w:t></w:r></w:p><w:p><w:pPr/><w:r><w:rPr/><w:t xml:space="preserve">Előző év azonos időszakához képest a teljes készpénzfelvételi forgalom (beleértve a kártyás és a pénztári készpénzfelvételeket is), darabszámban 6,6 százalékkal csökkent, értékben viszont 7,2 százalékkal nőtt, így 20,7 millió tranzakció során összesen 3,4 ezer milliárd forintot tett ki. Ugyanezen időszakban a készpénz befizetések darabszáma 3,4 százalékkal csökkent, értéke pedig 5,4 százalékkal nőtt.</w:t></w:r></w:p><w:p><w:pPr/><w:r><w:rPr/><w:t xml:space="preserve">Előző negyedévhez képest a fizetési kártyás visszaélések száma 8 százalékkal nőtt, míg ezek összértéke érdemben nem változott. Ezzel szemben az átutalási forgalomban bekövetkezett visszaélések száma 8,4, értéke pedig 27,9 százalékkal emelkedett. A növekedés teljes egészében a vállalati szektorhoz kötődött, itt a visszaélések darabszáma és összértéke is több mint kétszereződött. Ezzel szemben a lakossági szektorban az átutalásos visszaélések összértéke több mint 400 millió forinttal (15,4 százalékkal) csökkent. A visszaélési módszerekben továbbra sem történt jelentős változás, ezek többségét továbbra is a pszichológiai manipuláció, a banki felhasználói fiókhoz történő közvetlen hozzáférés, illetve az adathalászat adják. A bűnözők továbbra is elsősorban az ügyfelek megtévesztésével dolgoznak, egyre gyakrabban cégvezetőket is megcélozva telefonos vagy e-mailes megkereséssel, gyakran nyilvános forrásokból szerzett céginformációkat is felhasználva.</w:t></w:r></w:p><w:p><w:pPr/><w:r><w:rPr/><w:t xml:space="preserve">Az előző év azonos időszakához képest a hazai szolgáltatók pénzforgalmi bevételei 0,7 százalékkal, 292 milliárd forintra növekedtek. Míg a kártyakibocsátáshoz és a készpénzfelvételekhez kapcsolódó bevételek csökkentek (7,9, illetve 11 százalékkal), addig ezt a fizetési kártya tranzakciók jóváírásához (tehát a kereskedői kártyaelfogadáshoz) kapcsolódó és bankközi bevételek növekedése ellensúlyozta (utóbbiak 12,2 százalékkal nőttek).</w:t></w:r></w:p><w:p><w:pPr/><w:r><w:rPr/><w:t xml:space="preserve">Egy év alatt a hazai pénzforgalmi szolgáltatók kártyaelfogadási bevételei 6,9 százalékkal, 36,2 milliárd forintra nőttek. A bevételek megoszlása ismét csak kis mértékben változott, de tovább nőttek a tranzakciók értékével arányos bevételek, amik már a teljest elfogadási bevétel több mint 90 százalékát tették ki.</w:t></w:r></w:p><w:p><w:pPr/><w:r><w:rPr/><w:t xml:space="preserve">Az MNB pénzforgalmi adatpublikációjának bevételi adatokat tartalmazó táblája ettől a negyedévtől bővül hét különböző fizetési szokású ügyfélprofil (számlájukat vegyesen használók, digitális ügyfelek, pályakezdő ügyfelek, 65 év feletti ügyfelek, prémium ügyfelek, készpénzt használó ügyfelek, számlájukat minimálisan használók) számára elérhető számlacsomagok éves költségeivel. Ezek az adatokat a tárgynegyedév utolsó napján érvényes díjakat tartalmazzák. A digitális, pályakezdő, számláját minimálisan használó és a prémium ügyfélszegmensek számára elérhető ingyenes számlacsomag. A legolcsóbb 20 számlacsomag költségét figyelembe véve a legnagyobb különbség a vegyes fizetési szokásokkal rendelkező ügyfélprofil esetben van, évi közel 20 520 forint. Az elmúlt negyedévben több bank is kedvezményeket és alacsonyabb költségű új számlákat vezetett be, így már egyre több a teljesen ingyenesen is elérhető számlacsomag a hazai bankok kínálatában.</w:t></w:r></w:p><w:p><w:pPr/><w:r><w:rPr/><w:t xml:space="preserve">A főleg készpénzt használó ügyfélszegmens számára is elérhető lett 4 banknál havi ötszáz forint alatt számlacsomag, annak következtében, hogy az ingyenes készpénzfelvételi limit 300 ezer forintra emelkedett, valamint egyes bankok módosították a számlacsomagjaikat. A főleg készpénzt használó ügyfelek költségei így jelentősen alacsonyabbak, mint tavaly, a legolcsóbb 20 számlacsomag éves költségének átlaga 7 ezer forinttal lett alacsonyabb, míg a drágább számlacsomagok 7-12 ezer forinttal lettek olcsóbbak. A vegyes fizetési szokásokkal rendelkező ügyfélszegmens számára havi 2 000 forint alatt 10 számlacsomag érhető el. A digitális ügyfélszegmens számára 7 banknál érhető el ingyenes bankszámla. A harmadik negyedév során a bankok többsége megemelte a díjait, ami jellemzően 4,4-8,3 százalékos emelkedést jelent az ügyfelek költségeiben. Ez a következő negyedéves publikáció adatait fogja érinteni.</w:t></w:r></w:p><w:p><w:pPr/><w:r><w:rPr/><w:t xml:space="preserve">A VIBER forgalom értéke az előző negyedévhez képest 12,4 százalékkal növekedett, az előző év azonos időszakához képest pedig 34 százalékkal nőtt. Tételszám tekintetében az előző év első negyedévéhez képest 31,5 százalékos, az előző negyedévhez képest pedig 4,8 százalékos növekedés tapasztalható. A forgalom értékének és tételszámának fenti változásai következtében a VIBER-ben teljesült tranzakciók átlagértéke az előző negyedévhez képest közel 70 millió forinttal növekedett, egy év alatt pedig 20 millió forinttal növekedett. A vizsgált időszakban összesen 822 ezer darab tétel teljesült a VIBER-ben, mintegy 844 ezer milliárd forint értékben.</w:t></w:r></w:p><w:p><w:pPr/><w:r><w:rPr/><w:t xml:space="preserve">Az előző év azonos időszakához képest a VIBER-tagok átlagos likviditása 1 százalékkal csökkent, míg az előző negyedévhez képest 6 százalékkal csökkent, a likviditásszintje azonban továbbra is bőséges. Az éven belüli csökkenés többek között a 2020-as évben nyújtott 5 éves futamidejű fedezett hitelügyletek lejáratára vezethető vissza. A VIBER￾tag hitelintézetek forgalmuk lebonyolításához az előző negyedévhez hasonlóan továbbra sem kényszerültek hitelkeretük jelentős használatára. A maximális hitelkeret-kihasználtság (MHKK) értéke rendszerszinten alacsony, 0,17 – 0,51 százalék közötti szinten mozgott 2026 második negyedévében, azaz a rendszertagoknak átlagosan az összes rendelkezésre álló hitelkeretük csak ekkora részét kellett igénybe venniük. Az MHKK értékek az előző év azonos időszakában 0,88 – 1,34 százalék, az előző negyedévben 0,56 – 0,62 százalék voltak.</w:t></w:r></w:p><w:p><w:pPr/><w:r><w:rPr/><w:t xml:space="preserve">Az előző év azonos időszakához mérten a Bankközi Klíring Rendszer forgalmának értéke 10,7 százalékkal, tételszáma 2,9 százalékkal nőtt. 2026 második negyedévében összességében 111 millió darab tranzakció került elszámolásra 72 ezer milliárd forint értékben, melyből az azonnali elszámolásban összesen 55 millió darab tranzakció teljesült, mintegy 11,6 ezer milliárd forint értékben. A rendszertagok megfelelő likviditást biztosítottak az azonnali átutalási tranzakciók zavartalan teljesítéséhez.</w:t></w:r></w:p><w:p><w:pPr/><w:r><w:rPr/><w:t xml:space="preserve">Technikai segédlet</w:t></w:r></w:p><w:p><w:pPr/><w:r><w:rPr/><w:t xml:space="preserve">Az ügyfélátutalások elemzésére a Pénzforgalmi táblakészlet „Pénzforgalom” alfejezetében megtalálható idősorokat alkalmazzuk. Amennyiben kizárólag a pénzügyi infrastruktúrák működéséről szeretnénk bővebb információkat megtudni, a „Fizetési- és értékpapír elszámolási rendszerek működése” című alfejezetben megtalálható statisztikákat használjuk.</w:t></w:r></w:p><w:p><w:pPr/><w:r><w:rPr/><w:t xml:space="preserve">Sajtókapcsolat:</w:t></w:r></w:p><w:p><w:pPr><w:numPr><w:ilvl w:val="0"/><w:numId w:val="1"/></w:numPr></w:pPr><w:r><w:rPr/><w:t xml:space="preserve">+36 1 428 2600</w:t></w:r></w:p><w:p><w:pPr><w:numPr><w:ilvl w:val="0"/><w:numId w:val="1"/></w:numPr></w:pPr><w:r><w:rPr/><w:t xml:space="preserve">sajto@mnb.hu</w:t></w:r></w:p><w:p><w:pPr/><w:r><w:rPr/><w:t xml:space="preserve">Eredeti tartalom: Magyar Nemzeti Bank</w:t></w:r></w:p><w:p><w:pPr/><w:r><w:rPr/><w:t xml:space="preserve">Továbbította: Helló Sajtó! Üzleti Sajtószolgálat</w:t></w:r></w:p><w:p><w:pPr/><w:r><w:rPr/><w:t xml:space="preserve">Ez a sajtóközlemény a következő linken érhető el:<w:br/>https://hellosajto.hu/?p=32955</w:t></w:r></w:p><w:sectPr><w:headerReference w:type="default" r:id="rId7"/><w:footerReference w:type="default" r:id="rId8"/><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2026-09-16</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Magyar Nemzeti Bank</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C18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2026-09-15T19:18:41+00:00</dcterms:created>
  <dcterms:modified xsi:type="dcterms:W3CDTF">2026-09-15T19:18:41+00:00</dcterms:modified>
</cp:coreProperties>
</file>

<file path=docProps/custom.xml><?xml version="1.0" encoding="utf-8"?>
<Properties xmlns="http://schemas.openxmlformats.org/officeDocument/2006/custom-properties" xmlns:vt="http://schemas.openxmlformats.org/officeDocument/2006/docPropsVTypes"/>
</file>