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Történelmi mélypont közelében a nyugdíjpénztári költségek</w:t>
      </w:r>
      <w:bookmarkEnd w:id="0"/>
    </w:p>
    <w:p>
      <w:pPr/>
      <w:r>
        <w:rPr/>
        <w:t xml:space="preserve">Tavaly tovább csökkentek az önkéntes nyugdíjpénztáraknak a vagyonra, illetve a tagok hosszútávú feltételezett megtakarításaira vetített díjterhelési mutatói. Ezen belül a befektetési, vagyonkezelési költségek mérséklődtek, ami ellensúlyozta a működési terhek enyhe növekedését. A pénztári szektor 1 százalék alatti költségmutatóival változatlanul a legkedvezőbb nyugdíj-előtakarékossági formát kínálja a tagoknak.</w:t>
      </w:r>
    </w:p>
    <w:p>
      <w:pPr/>
      <w:r>
        <w:rPr/>
        <w:t xml:space="preserve">Az önkéntes nyugdíjpénztárak díjterhelési mutatója 2025-ben 0,66 százalékra mérséklődött, ami két bázispontos esést jelent az egy évvel korábbihoz képest. A korrigált díjterhelési mutató 0,70 százalék lett, három bázispontos apadást mutatva – tette közzé a Magyar Nemzeti Bank (MNB) szakmai összefoglalójában. Mindkét visszatekintő költségmutató így megközelítette a szektor működése alatt feljegyzett történelmi minimumot (2020. évi értékek).</w:t>
      </w:r>
    </w:p>
    <w:p>
      <w:pPr/>
      <w:r>
        <w:rPr/>
        <w:t xml:space="preserve">A mérséklődés oka, hogy arányukban, sőt nominális értéküket tekintve is visszaestek – a díjterhelési mutatók egyik összetevőjét adó – befektetési, vagyonkezelési költségek. A pénztárak 2025-ben ugyanis kevesebb sikerdíjat fizettek ki vagyonkezelőiknek, mint az előző évben. A szektor 9 százalék feletti, az inflációt is legyőző nettó átlagos hozama ellenére az előző évhez képest több esetben előfordult, hogy egyes pénztári portfóliók hozamai elmaradtak a referencia indexektől (az adott portfólió eszközeire számított viszonyszám) és ezért a pénztárak nem fizettek sikerdíjat a vagyonkezelőknek.</w:t>
      </w:r>
    </w:p>
    <w:p>
      <w:pPr/>
      <w:r>
        <w:rPr/>
        <w:t xml:space="preserve">E csökkenés ellensúlyozta, hogy a pénztári díjterhelés másik pillérét adó működési költségek – az ingatlancélú kifizetések átmeneti adminisztrációs, fejlesztési és bővítési kiadásai miatt – kis mértékben, 1-2 bázisponttal emelkedtek.</w:t>
      </w:r>
    </w:p>
    <w:p>
      <w:pPr/>
      <w:r>
        <w:rPr/>
        <w:t xml:space="preserve">Tavaly a 30 éves pénztári teljes költségmutató (TKMNYP) középértéke 0,96 százalék lett, három bázisponttal nőve egy év alatt. Az Európai Biztosítás- és Foglalkoztatóinyugdíj Hatóság (EIOPA) előző év decemberi kockázatmentes hozamgörbéjének értéke az előző évben kis mértékben nőtt, a pénztárak ennek figyelembevételével számítják ki a mutatót. A TKMNYP – a díjterhelési mutatókkal ellentétben – előretekintve modellezi a pénztártagok hosszú távú, a teljes várható előtakarékoskodás időszakára eső terheit.</w:t>
      </w:r>
    </w:p>
    <w:p>
      <w:pPr/>
      <w:r>
        <w:rPr/>
        <w:t xml:space="preserve">A TKM-értékek (10 vagy 20 éves periódusra is) az MNB honlapján is összehasonlíthatók az élet- és nyugdíjbiztosítási TKM-ekkel. A fogyasztók így a különböző előtakarékossági formák között nemcsak a hozamok, hanem a költségek alapján is választhatnak.</w:t>
      </w:r>
    </w:p>
    <w:p>
      <w:pPr/>
      <w:r>
        <w:rPr/>
        <w:t xml:space="preserve">Az önkéntes nyugdíjpénztárak valamennyi költségmutatójának átlaga hosszú távon is változatlanul 1 százalék alatti. A szektor így változatlanul versenyképes az egyéb nyugdíjcélú öngondoskodási termékek között.</w:t>
      </w:r>
    </w:p>
    <w:p>
      <w:pPr/>
      <w:r>
        <w:rPr/>
        <w:t xml:space="preserve">A nyugdíjpénztári tagok díjterhelése (2002-2025)</w:t>
      </w:r>
    </w:p>
    <w:p>
      <w:pPr/>
      <w:r>
        <w:rPr/>
        <w:t xml:space="preserve">Díjterhelési adatok excel formátumban (2002-2025)</w:t>
      </w:r>
    </w:p>
    <w:p>
      <w:pPr/>
      <w:r>
        <w:rPr/>
        <w:t xml:space="preserve">Infografika az önkéntes nyugdíjpénztárak díjterheléséről (2002-2025)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+36 1 428 2600</w:t>
      </w:r>
    </w:p>
    <w:p>
      <w:pPr>
        <w:numPr>
          <w:ilvl w:val="0"/>
          <w:numId w:val="1"/>
        </w:numPr>
      </w:pPr>
      <w:r>
        <w:rPr/>
        <w:t xml:space="preserve">sajto@mnb.hu</w:t>
      </w:r>
    </w:p>
    <w:p>
      <w:pPr/>
      <w:r>
        <w:rPr/>
        <w:t xml:space="preserve">Eredeti tartalom: Magyar Nemzeti Bank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https://hellosajto.hu/?p=32760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Nemzeti Bank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96C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2026-09-07T21:49:36+00:00</dcterms:created>
  <dcterms:modified xsi:type="dcterms:W3CDTF">2026-09-07T21:49:36+00:00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