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Közel 3 százalékkal csökkent a személyautók kötelező gépjármű-felelősségbiztosításának átlagos éves díja</w:t>
      </w:r>
      <w:bookmarkEnd w:id="0"/>
    </w:p>
    <w:p>
      <w:pPr/>
      <w:r>
        <w:rPr/>
        <w:t xml:space="preserve">A személyautók kötelező gépjármű-felelősségbiztosításának átlagos éves díja közel 3 százalékkal csökkent idén június végén az előző év azonos időszakával összevetve. Ugyanakkor a járműjavítási, karbantartási költségek drágulása emelte a kárráfordítási kiadásokat, ami trendfordulót hozhat a díjaknál a továbbiakban, negyedéves szinten már stagnálás tapasztalható.</w:t>
      </w:r>
    </w:p>
    <w:p>
      <w:pPr/>
      <w:r>
        <w:rPr/>
        <w:t xml:space="preserve">Az idei II. negyedév végén 55 521 forint volt a normál használatú egyedi személyautók kötelező gépjármű-felelősségbiztosításának átlagos éves díja. Ez 2,7 százalékkal alacsonyabb a tavalyi év azonos időszakával összevetve – derül ki a Magyar Nemzeti Bank (MNB) által közzétett Kgfb-indexből. A budapestieknek 1,4 százalékkal, a Budapesten kívülieknek 2,8 százalékkal kellett kevesebbet fizetniük, mint tavaly ilyenkor. Az elmúlt negyedévhez képest azonban már gyakorlatilag stagnáltak (0,1 százalékkal nőttek) a díjak.</w:t>
      </w:r>
    </w:p>
    <w:p>
      <w:pPr/>
      <w:r>
        <w:rPr/>
        <w:t xml:space="preserve">Eközben a biztosítók az egy évvel korábbinál 10,8 százalékkal nagyobb összeget fordítottak károkra. Éles piaci versenyre utal a díjszint és a kárráfordítás közti olló záródása. Ezt jelzi, hogy az MNB – az adók és a kárráfordítás hatásait kiszűrő – korrigált indexe a 2019. évi szinten állt idén június végén. Az elmúlt időszak jelentős kárnövekedésének oka, hogy a tavalyival közel azonos kárgyakoriság mellett a kárnagyság – a járműjavítási, karbantartási árak 8 százalékos emelkedése miatt – nőtt. A külföldi alkatrészek beszerzése kapcsán a forint erősödése viszont kedvezően hathat a kárráfordításra a következő időszakban.</w:t>
      </w:r>
    </w:p>
    <w:p>
      <w:pPr/>
      <w:r>
        <w:rPr/>
        <w:t xml:space="preserve">Az egyéb egyedi járművek esetében a motorkerékpároknál, teherautóknál, taxiknál és nehéz pótkocsiknál látható 2-3 százalékos díjcsökkenés, a többi járműtípust stagnálás, illetve kisebb díjemelkedés jellemezte. A jelentősebb létszámú flottás járműveknél a nagyobb buszok díjai 10 százalékkal estek, 1-2 százalékos csökkenés figyelhető meg a vontatóknál, teherautóknál is, miközben 1 százalékos volt a növekedés a nehéz pótkocsiknál.</w:t>
      </w:r>
    </w:p>
    <w:p>
      <w:pPr/>
      <w:r>
        <w:rPr/>
        <w:t xml:space="preserve">Az MNB 2021-től negyedévente teszi közzé a kgfb díjak és károk alakulását bemutató indexét, az általa működtetett, biztosítói adatszolgáltatáson alapuló Központi Kgfb Tételes Adatbázis (KKTA) segítségével. Az MNB honlapjának külön felületén színes infografika segítségével mutatja be a friss adatokat, amelyek 2016 I. negyedévéhez – azaz az egy évtizeddel ezelőtti állapothoz – viszonyítva jelzik a személygépkocsik átlagos éves díjának, illetve a többi járműosztály átlagdíjainak éves és negyedéves változását.</w:t>
      </w:r>
    </w:p>
    <w:p>
      <w:pPr/>
      <w:r>
        <w:rPr/>
        <w:t xml:space="preserve">A Kgfb-index rendszeres közzététele a fogyasztók és a közvélemény pontos, átlátható tájékoztatását segíti elő. A közzétett adatok az átlagos változást mutatják, az egyedi kgfb szerződéseknél ezek mértéke eltérő lehet. Ha egy ügyfél a folyamatokat és egyedi szerződését áttekintve nincs megelégedve kgfb díjával és/vagy a szolgáltatás minőségével, szerződéskötési évfordulóján lehetősége van a számára legkedvezőbb biztosítási ajánlat kiválasztására és új szerződés megkötésére.</w:t>
      </w:r>
    </w:p>
    <w:p>
      <w:pPr/>
      <w:r>
        <w:rPr/>
        <w:t xml:space="preserve">További információ: KGFB Infografika 2025 Q2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+36 1 428 2600</w:t>
      </w:r>
    </w:p>
    <w:p>
      <w:pPr>
        <w:numPr>
          <w:ilvl w:val="0"/>
          <w:numId w:val="1"/>
        </w:numPr>
      </w:pPr>
      <w:r>
        <w:rPr/>
        <w:t xml:space="preserve">sajto@mnb.hu</w:t>
      </w:r>
    </w:p>
    <w:p>
      <w:pPr/>
      <w:r>
        <w:rPr/>
        <w:t xml:space="preserve">Eredeti tartalom: Magyar Nemzeti Bank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https://hellosajto.hu/?p=32704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Nemzeti Bank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14A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2026-09-03T21:18:49+00:00</dcterms:created>
  <dcterms:modified xsi:type="dcterms:W3CDTF">2026-09-03T21:18:49+00:00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