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Műtrágyaárak: az EP-képviselők jóváhagyták a gazdák támogatását</w:t>
      </w:r>
      <w:bookmarkEnd w:id="0"/>
    </w:p>
    <w:p>
      <w:pPr/>
      <w:r>
        <w:rPr/>
        <w:t xml:space="preserve">Kedden a Parlament elfogadta azokat az intézkedéseket, amelyek célja, hogy enyhítsék az emelkedő műtrágyaárak uniós gazdákra gyakorolt hatását.</w:t>
      </w:r>
    </w:p>
    <w:p>
      <w:pPr/>
      <w:r>
        <w:rPr/>
        <w:t xml:space="preserve">Az európai parlamenti képviselők úgy döntöttek, hogy sürgősségi eljárásban fogadják el az EU közös agrárpolitikájának (KAP) Bizottság által javasolt módosításait, hogy a gazdák időben megkapják a támogatást ahhoz, hogy a következő termesztési idényre műtrágyát vásároljanak.</w:t>
      </w:r>
    </w:p>
    <w:p>
      <w:pPr/>
      <w:r>
        <w:rPr/>
        <w:t xml:space="preserve">A termelés vagy az élelmiszer-minőség romlásának, illetve a fogyasztói árak emelkedésének megelőzése érdekében a gazdák a felmerülő többlet műtrágyaköltségek akár 80 százalékának megfelelő likviditási támogatást is kaphatnak. Az EU-tagállamok emellett lehetőséget kapnak arra, hogy a közvetlen kifizetések előlegét 70 százalékról 75 százalékra emeljék, és azokat az érintett gazdáknak közvetlenül a kérelem benyújtását követően folyósítsák (nem pedig csak október 16. után, ahogyan azt a jelenlegi szabályok előírják). A tagállamok emellett nagyobb rugalmasságot kapnak a jövő évi közvetlen kifizetésekre szánt költségvetésük kiigazításában.</w:t>
      </w:r>
    </w:p>
    <w:p>
      <w:pPr/>
      <w:r>
        <w:rPr/>
        <w:t xml:space="preserve">A Bizottság által javasolt szabályokat 576 szavazattal, 62 ellenében és 15 tartózkodás mellett fogadták el.</w:t>
      </w:r>
    </w:p>
    <w:p>
      <w:pPr/>
      <w:r>
        <w:rPr/>
        <w:t xml:space="preserve">A következő lépések</w:t>
      </w:r>
    </w:p>
    <w:p>
      <w:pPr/>
      <w:r>
        <w:rPr/>
        <w:t xml:space="preserve">A szöveget most hivatalosan el kell fogadnia a Tanácsnak, és közzé kell tenni a EU Hivatalos Lapjában, mielőtt az azt követő napon hatályba léphet.</w:t>
      </w:r>
    </w:p>
    <w:p>
      <w:pPr/>
      <w:r>
        <w:rPr/>
        <w:t xml:space="preserve">Háttér</w:t>
      </w:r>
    </w:p>
    <w:p>
      <w:pPr/>
      <w:r>
        <w:rPr/>
        <w:t xml:space="preserve">A műtrágyaárak közvetlen hatással vannak az élelmiszer-termelésre, mivel a műtrágyák a gazdák termelési költségeinek akár 16 százalékát is kitehetik. Az EU a mezőgazdasági termeléshez felhasznált nitrogénalapú műtrágyák 30 százalékát, a foszfátalapú műtrágyák pedig 70 százalékát importból szerzi be. Az uniós műtrágyatermelés eközben földgázra támaszkodik. Mind a műtrágyaárak, mind az energiaárak emelkedtek a közelmúltbeli geopolitikai események – például Oroszország Ukrajna elleni agressziós háborúja, valamint a közelmúltban a közel-keleti helyzet, különösen a Hormuzi-szoros lezárása – következtében.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https://hellosajto.hu/?p=31799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EE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2026-07-07T19:29:48+00:00</dcterms:created>
  <dcterms:modified xsi:type="dcterms:W3CDTF">2026-07-07T19:29:48+00:00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