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Világos szabályok a szociális juttatásokról az EU-n belül mobil munkavállalóknak</w:t>
      </w:r>
      <w:bookmarkEnd w:id="0"/>
    </w:p>
    <w:p>
      <w:pPr/>
      <w:r>
        <w:rPr/>
        <w:t xml:space="preserve">Méltányos hozzáférés a társadalombiztosításhoz az EU-n belüli mobil munkavállalók számára</w:t>
      </w:r>
    </w:p>
    <w:p>
      <w:pPr/>
      <w:r>
        <w:rPr/>
        <w:t xml:space="preserve">Aktualizált szabályok a munkanélküli-, családi és tartós ápolási ellátásokra vonatkozóan</w:t>
      </w:r>
    </w:p>
    <w:p>
      <w:pPr/>
      <w:r>
        <w:rPr/>
        <w:t xml:space="preserve">Hatékonyabb együttműködés a tagállamok között az ellátásokhoz való hozzáférés biztosítása és a csalások felderítése érdekében</w:t>
      </w:r>
    </w:p>
    <w:p>
      <w:pPr/>
      <w:r>
        <w:rPr/>
        <w:t xml:space="preserve">Kedden az Európai Parlament jóváhagyta a szociális biztonsági rendszerek koordinálására vonatkozó uniós szabályok frissítését a más uniós országban élő vagy dolgozó uniós munkavállalók érdekében.</w:t>
      </w:r>
    </w:p>
    <w:p>
      <w:pPr/>
      <w:r>
        <w:rPr/>
        <w:t xml:space="preserve">A szociális biztonsági rendszerek koordinálásáról szóló rendelet régóta várt frissítésre. A szöveg, amelyről a Parlament és a Tanács tárgyalói már ideiglenesen megállapodtak, egyértelműbb kritériumokat vezet be annak meghatározására, hogy melyik ország szociális biztonsági jogszabályai alkalmazandók a más uniós tagállamban élő vagy dolgozó uniós munkavállalókra. Arra ösztönzi a tagállamokat, hogy haladéktalanul osszák meg egymással a hibák vagy csalások – többek között a visszaélésszerű gyakorlatok, például a postafiókcégek – azonosításához szükséges információkat. A szöveget 511 szavazattal, 87 ellenében és 61 tartózkodás mellett fogadták el.</w:t>
      </w:r>
    </w:p>
    <w:p>
      <w:pPr/>
      <w:r>
        <w:rPr/>
        <w:t xml:space="preserve">Munkanélküli-ellátások</w:t>
      </w:r>
    </w:p>
    <w:p>
      <w:pPr/>
      <w:r>
        <w:rPr/>
        <w:t xml:space="preserve">A jogszabály egyértelművé teszi, hogy a munkanélküli ellátásokra való jogosultság megállapításakor hogyan kell figyelembe venni a különböző tagállamokban teljesített munkavégzési, önfoglalkoztatási vagy biztosítási időszakokat. Azok a személyek, akik álláskeresés céljából egy másik uniós országba utaznak, hat hónapig jogosultak munkanélküli-ellátásra attól az országtól, ahonnan távoztak. Ez az időszak a jogosultságuk lejártáig meghosszabbítható.</w:t>
      </w:r>
    </w:p>
    <w:p>
      <w:pPr/>
      <w:r>
        <w:rPr/>
        <w:t xml:space="preserve">A határ menti ingázók esetében egyértelmű, hogy melyik tagállam felelős az ellátások kifizetéséért. Ha a határ menti ingázó munkavállaló 22 hetes megszakítás nélküli munkaviszonyban, önálló vállalkozóként és/vagy biztosítással rendelkezik a lakóhelye szerinti országtól eltérő tagállamban, az ellátásokat az az ország fizeti, ahol dolgozik.</w:t>
      </w:r>
    </w:p>
    <w:p>
      <w:pPr/>
      <w:r>
        <w:rPr/>
        <w:t xml:space="preserve">Tartós ápolás-gondozás és családi ellátások</w:t>
      </w:r>
    </w:p>
    <w:p>
      <w:pPr/>
      <w:r>
        <w:rPr/>
        <w:t xml:space="preserve">Az aktualizált szabályok növelik a jogbiztonságot a gondozásra szoruló személyek és az őket gondozó személyek számára. A jogszabály új fogalommeghatározást vezet be, és felsorolja az e szabályok hatálya alá tartozó tartós ápolási-gondozási ellátásokat.</w:t>
      </w:r>
    </w:p>
    <w:p>
      <w:pPr/>
      <w:r>
        <w:rPr/>
        <w:t xml:space="preserve">Világosabb lesz a különbség a pénzbeli családi ellátások – amelyek célja a jövedelem helyettesítése abban az esetben, ha egy személy gyermeknevelés céljából feladja vagy csökkenti a munkáját – és az egyéb családi ellátások között. Ez elő fogja mozdítani a gyermeknevelési feladatok egyenlőbb megosztását, és megszünteti azokat az esetleges pénzügyi akadályokat, amelyek visszatartják azokat a szülőket, akik a gyermekük gondozása érdekében csökkentik munkaidejüket.</w:t>
      </w:r>
    </w:p>
    <w:p>
      <w:pPr/>
      <w:r>
        <w:rPr/>
        <w:t xml:space="preserve">Munkavállalók, akiket egy másik uniós országba küldenek dolgozni</w:t>
      </w:r>
    </w:p>
    <w:p>
      <w:pPr/>
      <w:r>
        <w:rPr/>
        <w:t xml:space="preserve">A legfeljebb 24 hónapra külföldre küldött munkavállalók vagy önálló vállalkozók (akik nem helyettesítik a korábban kiküldött munkavállalókat) továbbra is biztosítottak maradnak abban az uniós országban, ahol munkáltatójuk letelepedett, vagy ahol általában önálló vállalkozói tevékenységüket végzik. A csalások és hibák leküzdése érdekében a külföldre küldést megelőzően ezeknek a személyeknek legalább három hónapig a származási országuk társadalombiztosítási rendszeréhez kell tartozniuk.</w:t>
      </w:r>
    </w:p>
    <w:p>
      <w:pPr/>
      <w:r>
        <w:rPr/>
        <w:t xml:space="preserve">A szöveg kötelező előzetes értesítési rendszert is bevezet: ha a munkavállaló egy másik uniós országban végez tevékenységet, erről előzetesen értesíteni kell a saját tagállam illetékes hatóságait. Ez nem vonatkozik az üzleti utakra és a legfeljebb három napos, rövid távú kiküldetésekre, bár az építőipar nem tartozik e kivétel hatálya alá.</w:t>
      </w:r>
    </w:p>
    <w:p>
      <w:pPr/>
      <w:r>
        <w:rPr/>
        <w:t xml:space="preserve">Munkavállalás két vagy több tagállamban</w:t>
      </w:r>
    </w:p>
    <w:p>
      <w:pPr/>
      <w:r>
        <w:rPr/>
        <w:t xml:space="preserve">A két vagy több tagállamban tevékenységet folytató munkavállalók esetében az aktualizált jogszabály segít meghatározni a munkáltató vagy a vállalkozás „bejegyzett székhelyét vagy üzletviteli helyét” annak megállapítása érdekében, hogy melyik tagállam társadalombiztosítási jogszabályai alkalmazandók. Ennek érdekében a releváns tényezők közé tartozik az a hely, ahol az alapvető döntéseket meghozzák, ahol a forgalom keletkezik, és ahol a közgyűléseket tartják.</w:t>
      </w:r>
    </w:p>
    <w:p>
      <w:pPr/>
      <w:r>
        <w:rPr/>
        <w:t xml:space="preserve">Gazdaságilag inaktív polgárok</w:t>
      </w:r>
    </w:p>
    <w:p>
      <w:pPr/>
      <w:r>
        <w:rPr/>
        <w:t xml:space="preserve">Az Európai Unió Bíróságának határozataival összhangban azokat az uniós polgárokat, akik nem dolgoznak, és nem is keresnek aktívan munkát, nem szabad megakadályozni abban, hogy hozzájáruljanak a betegségbiztosítási rendszerhez.</w:t>
      </w:r>
    </w:p>
    <w:p>
      <w:pPr/>
      <w:r>
        <w:rPr/>
        <w:t xml:space="preserve">A jelentéstevő szerint</w:t>
      </w:r>
    </w:p>
    <w:p>
      <w:pPr/>
      <w:r>
        <w:rPr/>
        <w:t xml:space="preserve">Gabriele Bischoff (S&amp;D, Németország) a jogszabályért felelős jelentéstevő elmondta: „Ma gondoskodunk arról, hogy azoknak, akik egy másik EU-tagállamba költöznek, szociális biztonsági jogaik megfelelő védelmet élvezzenek. A szabályok egyértelműbbek, jobban végrehajthatók és egyszerűbbek lesznek mind a munkavállalók, mind a vállalatok számára az EU-ban. Megerősítettük a szociális biztonsági intézmények közötti együttműködést a csalás elleni küzdelem és a postafiókcégek használata terén. Először lesz európai szintű meghatározása a tartós ápolás-gondozásnak, és a családi ellátások kifizetése is könnyebbé válik az EU-határokon átnyúlóan. Az EU egyszerűsíti a szabályokat, miközben biztosítja, hogy az egyik országban Önt megillető társadalombiztosítási jogok megmaradjanak, ha külföldre költözik vagy ott él.”</w:t>
      </w:r>
    </w:p>
    <w:p>
      <w:pPr/>
      <w:r>
        <w:rPr/>
        <w:t xml:space="preserve">Háttér</w:t>
      </w:r>
    </w:p>
    <w:p>
      <w:pPr/>
      <w:r>
        <w:rPr/>
        <w:t xml:space="preserve">Jelenleg 16 millió európai él vagy dolgozik másik uniós országban. A szociális biztonságra vonatkozó uniós szabályok megkönnyítik az uniós országok közötti mozgást, munkavállalást és letelepedést, biztosítják a folyamatos biztosítást a határátlépéskor, és segítenek meghatározni, melyik ország felelős a szociális biztonságért.</w:t>
      </w:r>
    </w:p>
    <w:p>
      <w:pPr/>
      <w:r>
        <w:rPr/>
        <w:t xml:space="preserve">REF: 20260706IPR46308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https://hellosajto.hu/?p=31783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41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2026-07-07T18:48:17+00:00</dcterms:created>
  <dcterms:modified xsi:type="dcterms:W3CDTF">2026-07-07T18:48:17+00:00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