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BUX emelkedéssel zárta a júniust – továbbra is kiegyensúlyozott kereskedés jellemezte a Budapesti Értéktőzsdét</w:t>
      </w:r>
      <w:bookmarkEnd w:id="0"/>
    </w:p>
    <w:p>
      <w:pPr/>
      <w:r>
        <w:rPr/>
        <w:t xml:space="preserve">Emelkedéssel zárta a júniust a Budapesti Értéktőzsde irányadó részvényindexe, a BUX, amely a hónap végén 139 892,19 ponton állt. Az azonnali részvénypiaci forgalom összesen 565,7 milliárd forintot tett ki, ami napi átlagban 25,7 milliárd forintos kereskedési volument jelentett. A befektetői aktivitás továbbra is elsősorban az OTP Bank, a Magyar Telekom és a MOL részvényeire koncentrálódott, míg a befektetési szolgáltatók közül júniusban is a WOOD &amp; Company zárt az első helyen, amelyet a Concorde és az ERSTE követett.</w:t>
      </w:r>
    </w:p>
    <w:p>
      <w:pPr/>
      <w:r>
        <w:rPr/>
        <w:t xml:space="preserve">A nemzetközi részvénypiacokon júniusban a technológiai szektor teljesítménye és a mesterséges intelligenciával kapcsolatos vállalati hírek alakították a befektetői hangulatot. Emellett a geopolitikai fejlemények és az energiapiaci folyamatok továbbra is meghatározó szerepet játszottak a kereskedésben, miközben a befektetők figyelme fokozatosan ismét a vállalati eredményekre és a makrogazdasági kilátásokra összpontosult.</w:t>
      </w:r>
    </w:p>
    <w:p>
      <w:pPr/>
      <w:r>
        <w:rPr/>
        <w:t xml:space="preserve">A kedvező nemzetközi piaci környezet mellett a hazai részvénypiac is pozitív teljesítményt nyújtott júniusban. A BUX index 139 892,19 ponton zárta a hónapot, ami 3,9 százalékos emelkedést jelentett az előző hónaphoz képest, a hónap során a mutató ekkor érte el legmagasabb értékét. A BUMIX index 9 337,13 ponton, a régiós CETOP NTR index 2 948,23 ponton, míg a BÉT Xtend piacának teljesítményét követő Xtend index 1 397,01 ponton fejezte be a hónapot.</w:t>
      </w:r>
    </w:p>
    <w:p>
      <w:pPr/>
      <w:r>
        <w:rPr/>
        <w:t xml:space="preserve">A Budapesti Értéktőzsdén júniusban összesen 565,7 milliárd forint értékben zajlott azonnali részvénypiaci kereskedés, ami napi átlagban 25,7 milliárd forintos forgalomnak felelt meg. A májusi élénk kereskedést követően a forgalom kiegyensúlyozott szinten alakult, miközben a befektetői érdeklődés továbbra is a vezető hazai részvényekre összpontosult.</w:t>
      </w:r>
    </w:p>
    <w:p>
      <w:pPr/>
      <w:r>
        <w:rPr/>
        <w:t xml:space="preserve">Az OTP Bank részvényei júniusban is a legnagyobb forgalmat bonyolították a Budapesti Értéktőzsdén: a papírral összesen 364,4 milliárd forint értékben kereskedtek, ami a havi azonnali részvénypiaci forgalom 64,4 százalékát jelentette. Az OTP-t a Magyar Telekom és a MOL követte 68,2, illetve 61,9 milliárd forintos forgalommal. A kis- és közepes kapitalizációjú vállalatok közül a CIVITA teljesített a legerősebben, részvényeinek árfolyama 67 százalékkal emelkedett a hónap során.</w:t>
      </w:r>
    </w:p>
    <w:p>
      <w:pPr/>
      <w:r>
        <w:rPr/>
        <w:t xml:space="preserve">A befektetési szolgáltatók rangsorában júniusban a WOOD &amp; Company végzett az első helyen 346,3 milliárd forintos forgalommal. A második helyet a Concorde, míg a harmadikat az ERSTE szerezte meg 250,7, illetve 214,9 milliárd forintos kereskedési volumennel.</w:t>
      </w:r>
    </w:p>
    <w:p>
      <w:pPr/>
      <w:r>
        <w:rPr/>
        <w:t xml:space="preserve">A havi forgalmi adatok mellett a Budapesti Értéktőzsde június végén új nemzetközi tőkepiaci szereplőt is köszöntött. A BÉT szimbolikus kereskedésindító csengetéssel üdvözölte a zágrábi székhelyű InterCapitalt magyar tőkepiaci jelenlétének megkezdése alkalmából.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.74218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2.9325513196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https://hellosajto.hu/?p=31521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10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2026-07-01T15:49:08+00:00</dcterms:created>
  <dcterms:modified xsi:type="dcterms:W3CDTF">2026-07-01T15:49:08+00:00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