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Kötelező gépjármű-felelősségbiztosítás: megugró kárkifizetés, tovább eső díjak</w:t>
      </w:r>
      <w:bookmarkEnd w:id="0"/>
    </w:p>
    <w:p>
      <w:pPr/>
      <w:r>
        <w:rPr/>
        <w:t xml:space="preserve">A személyautók kötelező gépjármű-felelősségbiztosításának átlagos éves díja közel 5 százalékkal csökkent idén március végén az előző év azonos időszakával összevetve. Eközben a károkra majdnem 12 százalékkal többet fizettek a biztosítók, amely a piaci verseny éleződését mutatja.</w:t>
      </w:r>
    </w:p>
    <w:p>
      <w:pPr/>
      <w:r>
        <w:rPr/>
        <w:t xml:space="preserve">Az idei I. negyedév végén átlagosan 55 407 forintot fizettek a normál használatú egyedi személyautók üzembentartói éves kgfb-díjként, ami 4,7 százalékos csökkenés egy év alatt. Ezen belül Budapesten 3,1 százalékkal, Budapesten kívül 4,8 százalékkal mérséklődtek a díjak, ami a piaci szereplők közti egyre kiélezettebb versenyt igazolja – olvasható a Magyar Nemzeti Bank frissen közzétett Kgfb-indexében.</w:t>
      </w:r>
    </w:p>
    <w:p>
      <w:pPr/>
      <w:r>
        <w:rPr/>
        <w:t xml:space="preserve">A biztosítói kárráfordítás 11,8 százalékkal nőtt egy év alatt a személyautóknál, ami a járműjavítási és -karbantartási költségek növekedéséhez köthető. Mindezeknek köszönhetően záródik az olló a díjszint és a kárráfordítás között, ami a kgfb-szerződések jobb ár-érték arányát jelzi. Az adóhatástól és a kárkifizetésektől megtisztított Korrigált kgfb-index 111 százalékon állt márciusban, amire legutóbb 2019-ben volt példa.</w:t>
      </w:r>
    </w:p>
    <w:p>
      <w:pPr/>
      <w:r>
        <w:rPr/>
        <w:t xml:space="preserve">Az egyéb járműkategóriáknál az egyedi teherautók és nehéz pótkocsiknál csökkentek a díjak, a többi nagy darabszámú egyedi járművek díjai jellemzően stagnáltak vagy minimálisan nőttek. Flottás járművek esetén jelentősen csökkent a pótkocsik és a taxik díja, a segédmotoros kerékpárok kiemelkedő díjnövekedése az alacsony bázishatással magyarázható.</w:t>
      </w:r>
    </w:p>
    <w:p>
      <w:pPr/>
      <w:r>
        <w:rPr/>
        <w:t xml:space="preserve">A pénzügyi felügyelet 2021-től negyedévente teszi közzé a kgfb díjak és károk alakulását bemutató indexét, az általa működtetett, biztosítói adatszolgáltatáson alapuló Központi Kgfb Tételes Adatbázis (KKTA) segítségével. Az MNB honlapjának külön felületén színes infografika segítségével mutatja be a friss adatokat, amelyek 2016 I. negyedévéhez – azaz az egy évtizeddel ezelőtti állapothoz – viszonyítva jelzik a személygépkocsik átlagos éves díjának, illetve a többi járműosztály átlagdíjainak éves és negyedéves változását.</w:t>
      </w:r>
    </w:p>
    <w:p>
      <w:pPr/>
      <w:r>
        <w:rPr/>
        <w:t xml:space="preserve">A Kgfb-index rendszeres közzététele a fogyasztók és a közvélemény pontos, átlátható tájékoztatását és a verseny élénkülését segíti elő. A közzétett adatok az átlagos változást mutatják, az egyedi kgfb szerződéseknél ezek mértéke eltérő lehet. Ha egy ügyfél a folyamatokat és egyedi szerződését áttekintve nincs megelégedve kgfb díjával és/vagy a szolgáltatás minőségével, szerződéskötési évfordulóján lehetősége van a számára legkedvezőbb biztosítási ajánlat kiválasztására és új szerződés megkötésére.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https://hellosajto.hu/?p=31310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E7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2026-06-19T22:05:22+00:00</dcterms:created>
  <dcterms:modified xsi:type="dcterms:W3CDTF">2026-06-19T22:05:22+00:00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