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Zöld pénzügyi jelentés: dinamikus fenntartható hitelezés, felemás kép a zöld tőkepiacon</w:t>
      </w:r>
      <w:bookmarkEnd w:id="0"/>
    </w:p>
    <w:p>
      <w:pPr/>
      <w:r>
        <w:rPr/>
        <w:t xml:space="preserve">Jelentősen nőtt itthon a zöld hitelállomány, illetve a környezeti, társadalmi és vállalatirányítási szempontokat érvényesítő (ESG) befektetési alapok és életbiztosítások mögé választható ESG befektetések volumene, a hazai bankrendszer klímakockázati kitettsége nem változott. A pénzügyi szabályozásban hangsúlyosabban megjelenő fenntarthatósági előírásokkal összhangban a felügyeleti elvárások is nőttek a pénzügyi intézményekkel szemben. A jegybank célzott kezdeményezésekkel támogatja a pénzügyi rendszert a zöld átállás érdekében.</w:t>
      </w:r>
    </w:p>
    <w:p>
      <w:pPr/>
      <w:r>
        <w:rPr/>
        <w:t xml:space="preserve">A globális átlaghőmérséklet továbbra is a kritikus 1,5 fokos küszöbérték körül ingadozik, ezért az üvegházhatású gázok kibocsátásának csökkentése változatlanul alapvető fontosságú – foglalja össze a folyamatokat a Magyar Nemzeti Bank (MNB) friss Zöld pénzügyi jelentése. Az éghajlatváltozás Magyarországon is egyértelmű: 1901 óta a tavalyi volt a legszárazabb június, és az ország tíz legmelegebb évének mindegyike a 2000-es évekre esett.</w:t>
      </w:r>
    </w:p>
    <w:p>
      <w:pPr/>
      <w:r>
        <w:rPr/>
        <w:t xml:space="preserve">A hazai pénzügyi szektor kedvező híre, hogy a bankrendszer továbbra is ellenálló a klímakockázatokra nézve. Nem nőttek érdemben az átállási kockázatok, amelyek meglévő bankrendszeri hatása kezelhető a jegybank rövid távú klímastressztesztjének eredményei alapján. A banki portfóliók nagyobb része viszont továbbra is magas üvegházhatású gázkibocsátással járó tevékenységeket finanszíroz. A bankrendszer hosszú távú ellenállóképességének biztosításához tovább kell fejleszteni többek között a banki kockázatkezelési gyakorlatokat. A banki portfóliókban a zöld ágazatok előtérbe helyezését, és ezáltal a klíma- és környezeti kockázatok mérséklését, az MNB bővített, újabb egy évvel meghosszabbított Zöld tőkekövetelmény-kedvezmény (TKK) programja immár még szélesebb körben támogatja.</w:t>
      </w:r>
    </w:p>
    <w:p>
      <w:pPr/>
      <w:r>
        <w:rPr/>
        <w:t xml:space="preserve">A TKK programba bevont banki zöld kitettségek értéke elérte a 1728 milliárd forintot tavaly, ami dinamikus, 28 százalékos éves bővülést jelent. Az egyéb, TKK programon kívüli zöld hitelekkel együtt 6,3 százalékra nőtt a zöld lakáshitelek aránya a hazai lakáshitelpiacon (ezek 40 százaléka a legmagasabb energetikai besorolású ingatlanokat finanszírozta). A zöld vállalati és önkormányzati hitelek aránya 7 százalék volt 2025 végén, döntő részben napenergia-termelést és fenntartható kereskedelmi ingatlanokat finanszírozva.</w:t>
      </w:r>
    </w:p>
    <w:p>
      <w:pPr/>
      <w:r>
        <w:rPr/>
        <w:t xml:space="preserve">A zöld állampapírok aránya stagnált, bár állományuk mintegy 500 milliárd forinttal bővült, emellett a zöld jelzáloglevelek volumene is nőtt. Számottevően nőtt a környezeti, társadalmi és vállalatirányítási, illetve fenntarthatósági fókuszú befektetési alapok, továbbá befektetési életbiztosításokhoz (unit-linked) választható ESG szempontú eszközalapok volumene is: együttes nettó eszközértük a 3 300 milliárd forintot közelíti. Szem előtt tartva a befektetők megfelelő tájékoztatását és a „zöldre festés” kockázatának csökkentését, a fenntartható célokkal rendelkező, kollektív befektetési eszközök átláthatóságát elősegítve az MNB Névhasználati ajánlást adott ki, illetve továbbfejlesztette a Zöld Pénzügyi Termékkeresőjét.</w:t>
      </w:r>
    </w:p>
    <w:p>
      <w:pPr/>
      <w:r>
        <w:rPr/>
        <w:t xml:space="preserve">A jegybank fenntartható pénzügyekkel kapcsolatos szabályozó eszközei, elsősorban vezetői körlevelek, útmutatók és az MNB zöld ajánlásai segítik az ESG kockázatok integrálását a pénzügyi intézmények működésébe, illetve iránytűként szolgálnak a piacnak az – egyre összetettebb – nemzetközi szabályozási rendszerben való eligazodásban.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https://hellosajto.hu/?p=30939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D3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2026-06-01T18:15:58+00:00</dcterms:created>
  <dcterms:modified xsi:type="dcterms:W3CDTF">2026-06-01T18:15:58+00:00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