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Több mint 10 százalékos növekedéssel zárta a BUX index az áprilist</w:t>
      </w:r>
      <w:bookmarkEnd w:id="0"/>
    </w:p>
    <w:p>
      <w:pPr/>
      <w:r>
        <w:rPr/>
        <w:t xml:space="preserve">Szolidabb periódust követően ismét lendületet vett a Budapesti Értéktőzsde az országgyűlési választásokat követően. A BUX index 133 787,99 ponton zárta az áprilist, amely 10,2 százalékos emelkedést jelent márciushoz képest. A részvénypiaci aktivitás még tovább élénkült, a forgalom meghaladta az előző havi szintet. A legnépszerűbb részvények sorrendjében az OTP Bank, a MOL és a Richter Gedeon hármasa zárt az élen, 588,3, 78,9 és 74,6 milliárd forint értékű forgalommal, míg a brókercégek között továbbra is a WOOD &amp; Company foglalta el az első helyet, a Concorde-ot és az ERSTE-t megelőzve.</w:t>
      </w:r>
    </w:p>
    <w:p>
      <w:pPr/>
      <w:r>
        <w:rPr/>
        <w:t xml:space="preserve">A nemzetközi tőzsdéken a befektetők figyelme elsősorban az amerikai jegybanki kamatdöntésre, a gyorsjelentési szezonra – különösen a technológiai szektorra – és a geopolitikai fejleményekre irányult, amelyek összességében vegyes mozgásokat eredményeztek a vezető piacokon.</w:t>
      </w:r>
    </w:p>
    <w:p>
      <w:pPr/>
      <w:r>
        <w:rPr/>
        <w:t xml:space="preserve">Itthon több hazai tényező is formálta a befektetői hangulatot a kibocsátók 2025. évi üzleti jelentéseinek közzétételein túl. A hónap elején módosult a BUX indexkosár összetétele, amelybe új részvénysorozatként bekerült az MBH Bank, a PannErgy és a Shopper Park Plus, így az index immár 18 komponensből épül fel. A súlyozásban továbbra is az OTP Bank (42,55%), a MOL (21,40%) és a Richter Gedeon (18,24%) részvényei domináltak – az április 1-jei adatok szerint.</w:t>
      </w:r>
    </w:p>
    <w:p>
      <w:pPr/>
      <w:r>
        <w:rPr/>
        <w:t xml:space="preserve">Az április 12-i, vasárnapi országgyűlési választásokat követően élénk kereskedés indult meg a Budapesti Értéktőzsdén, amely a részvénypiacokon is erősödést hozott. A BUX index ennek hatására emelkedő pályára állt, majd április 15-én elérte eddigi legmagasabb csúcsát, 139 499,37 ponton. A mutató márciushoz viszonyítva végül 10,2 százalékos növekedéssel, 133 787,99 ponton fejezte be az áprilist, amelyhez a BUMIX és a CETOP NTR index is igazodott, 9 133,99 és 2 718,76 pontos havi záróértékekkel.</w:t>
      </w:r>
    </w:p>
    <w:p>
      <w:pPr/>
      <w:r>
        <w:rPr/>
        <w:t xml:space="preserve">A legnagyobb, 588,3 milliárd forint értékben az OTP Bank papírjával zajlott a kereskedés áprilisban is. A bankot a MOL és a Richter Gedeon követte: míg az olajvállalat 78,9 milliárd, a gyógyszeripari társaság 74,6 milliárd forintos forgalmat ért el. A mid-capek közül a Budapesti Értéktőzsde mint kibocsátó emelkedett ki, 81,6 százalékos árfolyam-növekedést produkált márciushoz képest.</w:t>
      </w:r>
    </w:p>
    <w:p>
      <w:pPr/>
      <w:r>
        <w:rPr/>
        <w:t xml:space="preserve">A választásokat követő kereskedési napon, április 13-án 126,8 milliárd forintos forgalom realizálódott, amellyel az adott nap a tőzsde történetének legaktívabb időszakai közé került. A havi azonnali részvénypiaci forgalom is kiemelkedően alakult, összesen 814,4 milliárd forintot tett ki, ami napi átlagban 40,7 milliárd forintnak felelt meg, ilyen intenzitásra legutóbb 2007-ben volt példa a BÉT-en.</w:t>
      </w:r>
    </w:p>
    <w:p>
      <w:pPr/>
      <w:r>
        <w:rPr/>
        <w:t xml:space="preserve">A befektetési szolgáltatók versenyében ebben a hónapban is a WOOD &amp; Company zárt az első helyen 501,6 milliárd forinttal. A brókercéget a Concorde 424,6 milliárd, az ERSTE pedig 284,3 milliárd forinttal követte.</w:t>
      </w:r>
    </w:p>
    <w:p>
      <w:pPr/>
      <w:r>
        <w:rPr/>
        <w:t xml:space="preserve">A kibocsátói oldalon is bővült a kínálat, miután az Urban Plaza Plus Nyrt. részvényei megjelentek a Standard kategóriában. A társaság a kiskereskedelmi ingatlanpiacon aktív szereplőként csatlakozott a szabályozott piachoz, portfóliójának központi eleme a KÖKI Bevásárlóközpont.</w:t>
      </w:r>
    </w:p>
    <w:p>
      <w:pPr/>
      <w:r>
        <w:rPr/>
        <w:t xml:space="preserve">Ezen felül április során a magyar tőkepiac múltjára is nagyobb figyelem irányult egy, az MNMKK Magyar Kereskedelmi és Vendéglátóipari Múzeum által szervezett időszaki kiállítás révén, amely a tőzsde 1990. évi újraalapítását megelőző történeti időszakot (1864–1948) mutatja be.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media@bse.hu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05.5944055944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Budapesti Értéktőzsde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0.5820105820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Budapesti Értéktőzsde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0.37037037037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Budapesti Értéktőzsde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7.037037037037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Budapesti Értéktőzsde
                <w:br/>
                <w:br/>
              </w:t>
            </w:r>
          </w:p>
        </w:tc>
      </w:tr>
    </w:tbl>
    <w:p>
      <w:pPr/>
      <w:r>
        <w:rPr/>
        <w:t xml:space="preserve">Eredeti tartalom: Budapesti Értéktőzsde Nyrt.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https://hellosajto.hu/?p=30514
        </w:t>
      </w:r>
    </w:p>
    <w:sectPr>
      <w:headerReference w:type="default" r:id="rId11"/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2026-05-05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Értéktőzsde Nyrt.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A41C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eader" Target="header1.xm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2026-05-04T22:20:00+00:00</dcterms:created>
  <dcterms:modified xsi:type="dcterms:W3CDTF">2026-05-04T22:20:00+00:00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