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Európai Uniós költségvetés: a kihívásokhoz igazodó hétéves keretre van szükség</w:t>
      </w:r>
      <w:bookmarkEnd w:id="0"/>
    </w:p>
    <w:p>
      <w:pPr/>
      <w:r>
        <w:rPr/>
        <w:t xml:space="preserve">A pénzügyi keret legyen az EU bruttó nemzeti jövedelmének 1,27 százaléka, és a hiteltörlesztés költségeit kezeljék külön</w:t>
      </w:r>
    </w:p>
    <w:p>
      <w:pPr/>
      <w:r>
        <w:rPr/>
        <w:t xml:space="preserve">Fontos támogatandó terület a védelem és a versenyképesség, de továbbra is fenn kell tartani a kohéziós és mezőgazdasági célú finanszírozást</w:t>
      </w:r>
    </w:p>
    <w:p>
      <w:pPr/>
      <w:r>
        <w:rPr/>
        <w:t xml:space="preserve">Az egyszerűsítés nem mehet az átláthatóság, az elszámoltathatóság és a demokratikus felügyelet rovására</w:t>
      </w:r>
    </w:p>
    <w:p>
      <w:pPr/>
      <w:r>
        <w:rPr/>
        <w:t xml:space="preserve">A következő költségvetés elfogadásakor évi mintegy 60 milliárd eurót hozó új bevételi forrásokról kell gondoskodni</w:t>
      </w:r>
    </w:p>
    <w:p>
      <w:pPr/>
      <w:r>
        <w:rPr/>
        <w:t xml:space="preserve">Kedden a Parlament meghatározta, milyen álláspontot képvisel majd a többéves pénzügyi keret (MFF) főbb tételeiről és elosztásáról szóló, a Tanáccsal folytatandó tárgyalásokon.</w:t>
      </w:r>
    </w:p>
    <w:p>
      <w:pPr/>
      <w:r>
        <w:rPr/>
        <w:t xml:space="preserve">A 370 szavazattal, 201 ellenében és 84 tartózkodás mellett most elfogadott időközi jelentésében a Parlament az uniós bruttó nemzeti jövedelem 1,27 százalékának megfelelő nagyságú költségvetést irányoz elő a 2028 és 2034 közötti időszakra, nem számítva az Európai Uniós Helyreállítási Eszköz (NGEU) miatti adósságtörlesztés költségvonzatát.</w:t>
      </w:r>
    </w:p>
    <w:p>
      <w:pPr/>
      <w:r>
        <w:rPr/>
        <w:t xml:space="preserve">Az Európai Bizottság 2025. júliusi eredeti javaslatához képest ez a pénzügyi keret mintegy 10 százalékos növelését jelenti. A többletforrások egyenlő arányban oszlanának meg az Unió prioritásaihoz rendelt három fő költségvetési fejezet között (az ügynökségek és az adminisztráció kiadásait nem növelnék), illetve enyhítenének az inflációs nyomáson.</w:t>
      </w:r>
    </w:p>
    <w:p>
      <w:pPr/>
      <w:r>
        <w:rPr/>
        <w:t xml:space="preserve">Az eredeti bizottsági javaslathoz képest így névértéken (2025-ös változatlan árakon) 175,11 milliárd euróval, illetve (folyó árakon) 197,3 milliárd euróval nőne a keret, nem számítva az NGEU törlesztését. A Parlament az EU politikai prioritásainak és stratégiai céljainak finanszírozásához összességében (2025-ös változatlan árakon) 1,78 billió eurós, illetve (folyó árakon) 2,01 billió eurós büdzsét tart indokoltnak.</w:t>
      </w:r>
    </w:p>
    <w:p>
      <w:pPr/>
      <w:r>
        <w:rPr/>
        <w:t xml:space="preserve">A képviselők szerint fontos, hogy a következő hosszú távú uniós költségvetés továbbra is beruházási eszköz maradjon az uniós politikák, polgárok, régiók, vállalkozások, különösen a kkv-k szolgálatában, uniós értéktöbblettel egészítve ki a nemzeti államháztartásokat. Határozottan ellenezik az uniós költségvetés nemzeti hatáskörbe való visszahelyezését, és figyelmeztetnek, hogy a Bizottság „tagállamonként egy terv” megközelítése aláássa az uniós politikákat, csökkenti az átláthatóságot, és szükségtelen versenyt teremt a kedvezményezettek között.</w:t>
      </w:r>
    </w:p>
    <w:p>
      <w:pPr/>
      <w:r>
        <w:rPr/>
        <w:t xml:space="preserve">A kiemelt programokat támogató források egyértelmű elkülönítése és megnövelése</w:t>
      </w:r>
    </w:p>
    <w:p>
      <w:pPr/>
      <w:r>
        <w:rPr/>
        <w:t xml:space="preserve">A képviselők kellő mértékű forrásokat kívánnak hozzárendelni a különböző szakpolitikákhoz, megfelelően elkülönítve ezeket a nemzeti és regionális partnerségi terveken belül, különös tekintettel a közös agrárpolitikára és a halászati politikára, a legkülső régiók támogatására, a kohéziós politikára, az Európai Szociális Alapra és a belügyekre. Hangsúlyozzák, hogy a regionális és helyi hatóságokat maximálisan be kell vonni a programok tervezésébe és végrehajtásába.</w:t>
      </w:r>
    </w:p>
    <w:p>
      <w:pPr/>
      <w:r>
        <w:rPr/>
        <w:t xml:space="preserve">Üdvözlik, hogy a Bizottság a versenyképességre, a védelemre, az innovációra, a digitális és ökológiai átállásra, az infrastruktúrára, az egészségügyre, az oktatásra és a kultúrára szánt források megkétszerezését tervezi. Egyúttal szorgalmazzák a kiemelt uniós programok költségvetésének növelését többek között az Európai Versenyképességi Alap (EVA), a Horizont Európa, az Európai Hálózatfinanszírozási Eszköz (CEF), az Erasmus+, az AgoraEU, az uniós polgári védelmi mechanizmus, „az EU az egészségért” program, valamint az LIFE programhoz kapcsolódó intézkedései esetében.</w:t>
      </w:r>
    </w:p>
    <w:p>
      <w:pPr/>
      <w:r>
        <w:rPr/>
        <w:t xml:space="preserve">A képviselők támogatják a külpolitikára szánt költségvetés növelését, ugyanakkor nem tartják elégségesnek annak tervezett mértékét. Több forrást különítenének el a bővítés, a fejlesztés, Ukrajna támogatása, a többoldalú együttműködés és a humanitárius segítségnyújtás finanszírozására.</w:t>
      </w:r>
    </w:p>
    <w:p>
      <w:pPr/>
      <w:r>
        <w:rPr/>
        <w:t xml:space="preserve">Nem csökkenhet az átláthatóság és az elszámoltathatóság</w:t>
      </w:r>
    </w:p>
    <w:p>
      <w:pPr/>
      <w:r>
        <w:rPr/>
        <w:t xml:space="preserve">A Parlament határozott álláspontja szerint a költségvetés szerkezetének egyszerűsítése nem mehet az átláthatóság, az elszámoltathatóság és a demokratikus felügyelet rovására. Arra figyelmeztet, hogy a költségfüggetlen finanszírozás széles körű használata megnehezítheti a megfelelő auditálást. A jelentésben az is hangsúlyt kap, hogy az uniós értékek és a jogállamiság tiszteletben tartása az uniós forrásokhoz való hozzáférés lényeges előfeltétele, azzal együtt, hogy nem szabad egy kormány jogsértései miatt a végső kedvezményezetteket büntetni.</w:t>
      </w:r>
    </w:p>
    <w:p>
      <w:pPr/>
      <w:r>
        <w:rPr/>
        <w:t xml:space="preserve">A bevételi oldal</w:t>
      </w:r>
    </w:p>
    <w:p>
      <w:pPr/>
      <w:r>
        <w:rPr/>
        <w:t xml:space="preserve">A képviselők megerősítették, hogy a Parlament elkötelezett az új saját források bevezetése mellett, nemcsak az NGEU miatti adósságtörlesztés, hanem az uniós szakpolitikai törekvések finanszírozása érdekében is. Támogatják a Bizottság által javasolt „kosáralapú megközelítést”, egyben hangsúlyozzák, hogy a következő hosszú távú költségvetés elfogadásakor évi mintegy 60 milliárd eurót hozó új bevételi forrásokról kell gondoskodni. Amennyiben nem megy át minden bizottsági javaslat, működő alternatívának tartanák a digitális szolgáltatási adó, az online szerencsejátékokra kivetett adó vagy a kriptoeszközökkel kapcsolatos tevékenységekből származó tőkenyereséget terhelő adó bevezetését, illetve az importáruk karbonintenzitását ellensúlyozó mechanizmus hatókörének kiterjesztését.</w:t>
      </w:r>
    </w:p>
    <w:p>
      <w:pPr/>
      <w:r>
        <w:rPr/>
        <w:t xml:space="preserve">Részletes számadatokért lásd az időközi jelentés II. mellékletét.</w:t>
      </w:r>
    </w:p>
    <w:p>
      <w:pPr/>
      <w:r>
        <w:rPr/>
        <w:t xml:space="preserve">A jelentéstevők szerint</w:t>
      </w:r>
    </w:p>
    <w:p>
      <w:pPr/>
      <w:r>
        <w:rPr/>
        <w:t xml:space="preserve">Siegfried Mureşan (EPP, Románia) társjelentéstevő szerint: „A mai szavazással az Európai Parlament meghatározza az ambíciók és az ütemterv irányvonalát. Határozott álláspontot fogadtunk el a következő költségvetésről, amely egy mérsékelt, 10 százalékos emeléssel egyensúlyt teremt az új és a hagyományos prioritások között. Felhívjuk az Európai Tanácsot, hogy tegyen lépéseket, vigye tovább javaslatainkat, és állapodjon meg egy határozott, időszerű költségvetésről. Készen állunk a tárgyalásokra.”</w:t>
      </w:r>
    </w:p>
    <w:p>
      <w:pPr/>
      <w:r>
        <w:rPr/>
        <w:t xml:space="preserve">Carla Tavares (S&amp;D, Portugália) társjelentéstevő hozzátette: „A közös agrárpolitika, a kohéziós alapok, a Horizont Európa, az Erasmus+ – ezek nem a múlt relikviái, hanem az európai szolidaritás gerincét képezik, és alakítják a jövőnket. Az ambíció erőforrások nélkül üres, ezért határozott álláspontot fogadtunk el a következő költségvetéssel kapcsolatban, egyensúlyt teremtve az új és a hagyományos prioritások között egy mérsékelt emeléssel és új, valódi saját forrásokkal. Most az Európai Tanácson a sor, hogy megfeleljen ambícióinknak, építsen javaslatainkra, és biztosítson egy erős, időszerű költségvetést – olyat, amely a régiók, a kedvezményezettek és az emberek javát szolgálja. Várjuk a konstruktív tárgyalásokat.”</w:t>
      </w:r>
    </w:p>
    <w:p>
      <w:pPr/>
      <w:r>
        <w:rPr/>
        <w:t xml:space="preserve">A következő lépések</w:t>
      </w:r>
    </w:p>
    <w:p>
      <w:pPr/>
      <w:r>
        <w:rPr/>
        <w:t xml:space="preserve">A szavazással a Parlament meghatározta tárgyalási álláspontját a többéves pénzügyi keret főbb tételeit és elosztását meghatározó rendeletről. Az MFF-rendelet elfogadásához a Parlament jóváhagyása szükséges. A tárgyalások akkor kezdődhetnek meg a Tanáccsal, ha az uniós tagországok is kialakították teljes körű, közös álláspontjukat.</w:t>
      </w:r>
    </w:p>
    <w:p>
      <w:pPr/>
      <w:r>
        <w:rPr/>
        <w:t xml:space="preserve">Háttér</w:t>
      </w:r>
    </w:p>
    <w:p>
      <w:pPr/>
      <w:r>
        <w:rPr/>
        <w:t xml:space="preserve">A Parlament 2025 májusában határozta meg a 2027 utánra szóló uniós költségvetéssel kapcsolatos prioritásait. Az Európai Bizottság ezt követően 2025 júliusában terjesztette elő javaslatát, amely vezető EP-képviselők szerint valójában befagyasztotta a beruházásokat, mivel az NGEU miatti hiteltörlesztés is része volt. A költségvetés túlnyomórészt a vállalkozásokat, a gazdákat, a régiókat és a civil társadalmat támogatja, és durván 6 százaléka adminisztratív jellegű kiadás.</w:t>
      </w:r>
    </w:p>
    <w:p>
      <w:pPr/>
      <w:r>
        <w:rPr/>
        <w:t xml:space="preserve">REF: 20260423IPR41835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Zalán Eszter sajtóreferens</w:t>
      </w:r>
    </w:p>
    <w:p>
      <w:pPr>
        <w:numPr>
          <w:ilvl w:val="0"/>
          <w:numId w:val="1"/>
        </w:numPr>
      </w:pPr>
      <w:r>
        <w:rPr/>
        <w:t xml:space="preserve">+32 228 40081 (BXL)</w:t>
      </w:r>
    </w:p>
    <w:p>
      <w:pPr>
        <w:numPr>
          <w:ilvl w:val="0"/>
          <w:numId w:val="1"/>
        </w:numPr>
      </w:pPr>
      <w:r>
        <w:rPr/>
        <w:t xml:space="preserve">eszter.zalan@europarl.europa.eu</w:t>
      </w:r>
    </w:p>
    <w:p>
      <w:pPr/>
      <w:r>
        <w:rPr/>
        <w:t xml:space="preserve">Eredeti tartalom: Európai Parlament Magyarországi Kapcsolattartó Irodája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https://hellosajto.hu/?p=30438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EA7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2026-04-28T21:45:18+00:00</dcterms:created>
  <dcterms:modified xsi:type="dcterms:W3CDTF">2026-04-28T21:45:18+00:00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