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Tovább mérséklődtek a kötelező gépjármű-felelősségbiztosítási díjak</w:t>
      </w:r>
      <w:bookmarkEnd w:id="0"/>
    </w:p>
    <w:p>
      <w:pPr/>
      <w:r>
        <w:rPr/>
        <w:t xml:space="preserve">A személyautók kötelező gépjármű-felelősségbiztosításának (kgfb) átlagos éves díja egy év alatt 1,7 százalékkal csökkent, ami a biztosítók közötti verseny élénkülését jelzi. A biztosítói kárráfordítás eközben 8,4 százalékkal emelkedett, ami a korrigált index csökkenésével együtt a kgfb 9,4 százalékos ár-érték arányának javulását mutatja az ügyfelek számára.</w:t>
      </w:r>
    </w:p>
    <w:p>
      <w:pPr/>
      <w:r>
        <w:rPr/>
        <w:t xml:space="preserve">Tavaly év végén 56 013 forint volt a normál használatú személyautók kötelező gépjármű-felelősségbiztosításának (kgfb) átlagos éves díja, ami 0,9 százalékos csökkenést jelez az előző negyedéves értékhez képest – derül ki a Magyar Nemzeti Bank (MNB) friss negyedéves Kgfb-indexéből. Ezen belül a Budapesten kívüli autósok átlagos éves díja (kb. 52 ezer forint) közel 29 ezer forinttal maradt el fővárosi társaikétól (kb. 81 ezer forint).</w:t>
      </w:r>
    </w:p>
    <w:p>
      <w:pPr/>
      <w:r>
        <w:rPr/>
        <w:t xml:space="preserve">Éves szinten összességében 1,7 százalékkal csökkent az országos átlagdíj: a fővárosi szerződéseknél 0,3 százalék, míg a nem budapestieknél 1,8 százalékos mérséklődés tapasztalható 2024 utolsó negyedévével összevetve. A biztosítók kárráfordítása ugyanakkor egy év alatt 8,4 százalékkal, míg egy negyedévet tekintve 2,7 százalékkal emelkedett. Így a díjak és a kárkifizetések közötti különbség szűkült, ami az ár-érték arány javulását jelzi.</w:t>
      </w:r>
    </w:p>
    <w:p>
      <w:pPr/>
      <w:r>
        <w:rPr/>
        <w:t xml:space="preserve">Az MNB korrigált indexe – amely az adó- és kárráfordítási hatásoktól megtisztított átlagos díjakat mutatja, így a tényleges díjváltozásokat jelzi – 118 százalékra csökkent, ami a tavalyi évhez képest 9,4 százalékos ár-érték arány javulás.</w:t>
      </w:r>
    </w:p>
    <w:p>
      <w:pPr/>
      <w:r>
        <w:rPr/>
        <w:t xml:space="preserve">A korábbi konszolidációt követően az utóbbi időszakban a kárkifizetések jelentősebb növekedése látható. A kifizetett károk összege 8,5 százalékkal nőtt, miközben a kárgyakoriság a tavalyival közel azonos, 2,4 százalék maradt. Az egyedi, normál használatú személygépjárművek állománya bővült, darabszámuk 4,206 millióra emelkedett.</w:t>
      </w:r>
    </w:p>
    <w:p>
      <w:pPr/>
      <w:r>
        <w:rPr/>
        <w:t xml:space="preserve">Az egyéb járműkategóriáknál az egyedi teherautók és nehéz pótkocsik esetében stagnálás, kisebb mértékű díjcsökkenés történt. A nagyobb elemszámú flottás járműkategóriákban ugyanakkor az átlagos éves díjak egy év alatt 5-16 százalék közötti mértékben emelkedtek, stagnálás csak a kisebb buszoknál volt tapasztalható.</w:t>
      </w:r>
    </w:p>
    <w:p>
      <w:pPr/>
      <w:r>
        <w:rPr/>
        <w:t xml:space="preserve">A pénzügyi felügyelet 2021-től negyedévente teszi közzé a kgfb díjak és károk alakulását bemutató indexét, az általa működtetett, biztosítói adatszolgáltatáson alapuló Központi Kgfb Tételes Adatbázis (KKTA) segítségével. Az MNB honlapjának külön felületén színes infografika segítségével mutatja be a friss adatokat, amelyek 2016 I. negyedévéhez viszonyítva jelzik a személygépkocsik átlagos éves díjának, illetve a többi járműosztály átlagdíjainak éves és negyedéves változását.</w:t>
      </w:r>
    </w:p>
    <w:p>
      <w:pPr/>
      <w:r>
        <w:rPr/>
        <w:t xml:space="preserve">A Kgfb-index rendszeres közzététele a fogyasztók és a közvélemény pontos, átlátható tájékoztatását és a verseny élénkülését segíti elő. A közzétett adatok az átlagos változást mutatják, az egyedi kgfb szerződéseknél ezek mértéke eltérő lehet. Ha egy ügyfél a folyamatokat és egyedi szerződését áttekintve nincs megelégedve kgfb díjával és/vagy a szolgáltatás minőségével, szerződéskötési évfordulóján lehetősége van a számára legkedvezőbb biztosítási ajánlat kiválasztására és új szerződés megkötésére.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https://hellosajto.hu/?p=29994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9D9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2026-03-31T18:31:57+00:00</dcterms:created>
  <dcterms:modified xsi:type="dcterms:W3CDTF">2026-03-31T18:31:57+00:00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