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EU borágazatát védő és támogató új intézkedéseket fogadott el az Európai Parlament</w:t>
      </w:r>
      <w:bookmarkEnd w:id="0"/>
    </w:p>
    <w:p>
      <w:pPr/>
      <w:r>
        <w:rPr/>
        <w:t xml:space="preserve">Több forrás a bortermelőknek, hogy alkalmazkodhassanak a piac fejleményeihez, és további eszközök a szélsőséges időjárás kezeléséhez</w:t>
      </w:r>
    </w:p>
    <w:p>
      <w:pPr/>
      <w:r>
        <w:rPr/>
        <w:t xml:space="preserve">A 0,05 százalékos alkoholtartalom alatti borokat „alkoholmentes 0,0%” felirattal kell ellátni; a 0,5 százaléknál magasabb, de a szabványnál 30 százalékkal alacsonyabb alkoholtartalmú borokat „csökkentett alkoholtartalmú” felirattal kell ellátni</w:t>
      </w:r>
    </w:p>
    <w:p>
      <w:pPr/>
      <w:r>
        <w:rPr/>
        <w:t xml:space="preserve">Több támogatás a borturizmusnak, az exportnak és a népszerűsítésnek</w:t>
      </w:r>
    </w:p>
    <w:p>
      <w:pPr/>
      <w:r>
        <w:rPr/>
        <w:t xml:space="preserve">Kedden az EP-képviselők megszavazták az európai bortermelők védelmét és támogatását erősítő új szabályokat.</w:t>
      </w:r>
    </w:p>
    <w:p>
      <w:pPr/>
      <w:r>
        <w:rPr/>
        <w:t xml:space="preserve">A Parlament 625 szavazattal 15 ellenében és 11 tartózkodás mellett jóváhagyta az EU tagállamaival 2025. december 4-én elért ideiglenes megállapodást. Az új szabályok a bortermelők előtt álló kihívásokra válaszolnak, és új piaci lehetőségeket nyitnak meg.</w:t>
      </w:r>
    </w:p>
    <w:p>
      <w:pPr/>
      <w:r>
        <w:rPr/>
        <w:t xml:space="preserve">Egyértelmű címkézés az alkoholmentes és csökkentett alkoholtartalmú borokon </w:t>
      </w:r>
    </w:p>
    <w:p>
      <w:pPr/>
      <w:r>
        <w:rPr/>
        <w:t xml:space="preserve">Az alkoholmentes borokra vonatkozó szabályok egyértelműsítése érdekében az „alkoholmentes” kifejezés a „0,0%” jelöléssel együtt akkor használható, ha a termék alkoholtartalma nem haladja meg a 0,05 térfogatszázalékot. „Csökkentett alkoholtartalmú” jelöléssel kell ellátni azokat a termékeket, melyek alkoholtartalma meghaladja a 0,5 térfogatszázalékot, de az legalább 30 százalékkal alacsonyabb, mint az alkoholmentesítés előtti borok standard alkoholtartalma ebben a kategóriában.</w:t>
      </w:r>
    </w:p>
    <w:p>
      <w:pPr/>
      <w:r>
        <w:rPr/>
        <w:t xml:space="preserve">Több forrás és rugalmasság a bortermelőknek</w:t>
      </w:r>
    </w:p>
    <w:p>
      <w:pPr/>
      <w:r>
        <w:rPr/>
        <w:t xml:space="preserve">A súlyos természeti katasztrófákra, szélsőséges időjárási körülményekre vagy növénybetegségek kitörésére válaszul a bortermelők további támogatást kapnak. A szöveg előirányozza az uniós források felhasználását az úgynevezett „kivágásra” is (ez az összes gyökér teljes eltávolítását jelenti a szőlővel betelepített területen). A borlepárlás és a zöld szüret nemzeti kifizetési plafonját a tagállamonként rendelkezésre álló teljes forrás 25 százalékában állapítják meg.</w:t>
      </w:r>
    </w:p>
    <w:p>
      <w:pPr/>
      <w:r>
        <w:rPr/>
        <w:t xml:space="preserve">Borturizmus és exportösztönzés </w:t>
      </w:r>
    </w:p>
    <w:p>
      <w:pPr/>
      <w:r>
        <w:rPr/>
        <w:t xml:space="preserve">A termelők további támogatást kapnak a borturizmus ösztönzésére. Azok az intézkedések, amelyek a vidéki térségek gazdasági növekedését, és a minőségi európai borok harmadik, EU-n kívüli országokban történő népszerűsítését célozzák, legfeljebb 60 százalékban részesülhetnek uniós finanszírozásban. A tagállamok további 30 százalékkal kiegészíthetik ezt a kis- és középvállalkozások esetében, illetve 20 százalékkal a nagyobb vállalatok esetében. A támogatható tevékenységek között szerepelhetnek tájékoztatási- és promóciós kezdeményezések, például reklámok, rendezvények, kiállítások és tanulmányok. Ezek három évig finanszírozhatók, a finanszírozás két alkalommal megújítható, így összesen kilenc évre terjedhet ki.</w:t>
      </w:r>
    </w:p>
    <w:p>
      <w:pPr/>
      <w:r>
        <w:rPr/>
        <w:t xml:space="preserve">A jelentéstevő szerint</w:t>
      </w:r>
    </w:p>
    <w:p>
      <w:pPr/>
      <w:r>
        <w:rPr/>
        <w:t xml:space="preserve">Esther Herranz García (EPP, Spanyolország) jelentéstevő így nyilatkozott: „Ez a jogszabály időszerű és hatékony válasz a borágazat válságára. Európa konkrét eszközökkel reagál, például európai finanszírozás felhasználásával válságintézkedésekre, a promóciós- és kommunikációs tevékenységek feltételeinek javításával, valamint a társfinanszírozás növelésével, hogy segítse a termelők alkalmazkodását a klímaválsághoz. A tagállamok hatékonyabb intézkedésekkel tudják kezelni az ágazatot érintő kihívásokat a különböző országokban és régiókban.”</w:t>
      </w:r>
    </w:p>
    <w:p>
      <w:pPr/>
      <w:r>
        <w:rPr/>
        <w:t xml:space="preserve">A következő lépések</w:t>
      </w:r>
    </w:p>
    <w:p>
      <w:pPr/>
      <w:r>
        <w:rPr/>
        <w:t xml:space="preserve">Az ideiglenes megállapodást jóvá kell hagynia a Tanácsnak, mielőtt az új szabályok hatályba léphetnek.</w:t>
      </w:r>
    </w:p>
    <w:p>
      <w:pPr/>
      <w:r>
        <w:rPr/>
        <w:t xml:space="preserve">REF: 20260205IPR33615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Zalán Eszter, sajtóreferens</w:t>
      </w:r>
    </w:p>
    <w:p>
      <w:pPr>
        <w:numPr>
          <w:ilvl w:val="0"/>
          <w:numId w:val="1"/>
        </w:numPr>
      </w:pPr>
      <w:r>
        <w:rPr/>
        <w:t xml:space="preserve">+32 228 40081 (BXL)</w:t>
      </w:r>
    </w:p>
    <w:p>
      <w:pPr>
        <w:numPr>
          <w:ilvl w:val="0"/>
          <w:numId w:val="1"/>
        </w:numPr>
      </w:pPr>
      <w:r>
        <w:rPr/>
        <w:t xml:space="preserve">eszter.zalan@europarl.europa.eu</w:t>
      </w:r>
    </w:p>
    <w:p>
      <w:pPr/>
      <w:r>
        <w:rPr/>
        <w:t xml:space="preserve">Eredeti tartalom: Európai Parlament Magyarországi Kapcsolattartó Irodája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https://hellosajto.hu/?p=28823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Európai Parlament Magyarországi Kapcsolattartó Irodája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C7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2026-02-10T16:04:08+00:00</dcterms:created>
  <dcterms:modified xsi:type="dcterms:W3CDTF">2026-02-10T16:04:08+00:00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