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vállalati felmérés a jegybank és az MKIK együttműködésében</w:t>
      </w:r>
      <w:bookmarkEnd w:id="0"/>
    </w:p>
    <w:p>
      <w:pPr/>
      <w:r>
        <w:rPr/>
        <w:t xml:space="preserve">A Magyar Nemzeti Bank és a Magyar Kereskedelmi és Iparkamara számára kiemelten fontos a vállalatok gazdasági helyzetének és várakozásainak nyomon követése – jelentette ki Varga Mihály az MNB–MKIK Vállalati Konjunktúrafelmérés eredményeit bemutató sajtótájékoztatón. A jegybankelnök ismertette: az új módszertannal készülő felmérés az eddigieknél közvetlenebb és pontosabb képet ad a vállalkozások helyzetéről és kilátásairól.</w:t>
      </w:r>
    </w:p>
    <w:p>
      <w:pPr/>
      <w:r>
        <w:rPr/>
        <w:t xml:space="preserve">Varga Mihály emlékeztetett: a Magyar Nemzeti Bank filozófiájának egyik fontos eleme, hogy a szakmai tudás a magyar reálgazdaságot közvetlenül is segítse, amelyben az MKIK hathatós segítséget nyújt. Ennek egyik megnyilvánulása az elkészült közös felmérés, amely annak az ötpontos együttműködési megállapodásnak a része, amelyet a két intézmény kötött egymással még áprilisban – fogalmazott a jegybankelnök. Mint mondta: az eredmények biztatóak, hiszen a közös konjunktúra-felmérés során több mint 1500 céget értünk el. Varga Mihály rámutatott: az MNB–MKIK vállalati konjunktúraindex alakulása szoros összhangot mutat a negyedéves bruttó hazai termék éves változásával, így jól leképezi a reálgazdasági folyamatokat. Az elmúlt két hónapban ugyan javulás volt megfigyelhető az indexben, összességében azonban a mutató továbbra is visszafogott konjunktúrát jelez. A jegybankelnök kiemelte: a mostani eredmények azt mutatják, hogy bár a vállalatok jelenlegi helyzetértékelése továbbra is óvatos, a jövőre vonatkozó várakozások kedvezőbbek, ami alapot jelenthet a következő időszak gazdasági folyamataihoz – tette hozzá. Varga Mihály tájékoztatott: a felmérés fontos visszajelzést ad a gazdaságpolitika, valamint a vállalati szektor számára is, hiszen lehetőséget kínál saját helyzetük értékelésére méret és iparág szerinti bontásban egyaránt. Ezt jelzi a vállatok azon megállapítása is, miszerint saját tevékenységük korlátjaként jellemzően a gyenge keresletet, a magas energiaárakat, valamint az infláció következtében velünk maradó magas költségszintet említik. A részletes vállalati válaszok alapján pontosabban követhetők a gazdasági alkalmazkodási folyamatok, valamint a költség- és keresleti korlátok alakulása – fogalmazott a jegybankelnök.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https://hellosajto.hu/?p=27241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53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2025-11-27T15:41:12+00:00</dcterms:created>
  <dcterms:modified xsi:type="dcterms:W3CDTF">2025-11-27T15:41:12+00:00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