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Megugrottak a befektetői ingatlaneladások, nő az ingatlankínálat</w:t>
      </w:r>
      <w:bookmarkEnd w:id="0"/>
    </w:p>
    <w:p>
      <w:pPr/>
      <w:r>
        <w:rPr/>
        <w:t xml:space="preserve">Az Otthon Start Program új mozgásokat indított a piacon</w:t>
      </w:r>
    </w:p>
    <w:p>
      <w:pPr/>
      <w:r>
        <w:rPr/>
        <w:t xml:space="preserve">A bérleti piac az elmúlt hónapokban látványosan átrendeződött, miközben bérleti díjak növekedése különösen Budapesten megtorpant – derül ki a Duna House elemzéséből.</w:t>
      </w:r>
    </w:p>
    <w:p>
      <w:pPr/>
      <w:r>
        <w:rPr/>
        <w:t xml:space="preserve">A Duna House adatai alapján a befektetési célú eladások aránya az elmúlt 1 évben egyértelműen élénkülő képet mutatott, különösen Budapesten: a fővárosban 2024 nyarán még 26-32% között mozgott az ilyen tranzakciók aránya, 2025 nyarára viszont több hónapban is meghaladta a 35-40%-ot, augusztusban például 41%-ra ugrott.</w:t>
      </w:r>
    </w:p>
    <w:p>
      <w:pPr/>
      <w:r>
        <w:rPr/>
        <w:t xml:space="preserve">Ez az elmúlt időszak egyik legmagasabb értéke, és jól jelzi, hogy az Otthon Start Program (OSP) bejelentése után sok befektető döntött a kiszállás mellett.</w:t>
      </w:r>
    </w:p>
    <w:p>
      <w:pPr/>
      <w:r>
        <w:rPr/>
        <w:t xml:space="preserve">Vidéken a tendencia vegyesebb, de ott is érzékelhető volt mozgás: míg 2024-ben jellemzően 23-27% között mozgott a korábbi befektetésként vásárolt ingatlanok eladási aránya, 2025 nyarán és ősszel több vármegyeszékhelyen, így Győrben, Pécsen, Veszprémben, Debrecenben és Szegeden is többször 30% fölé emelkedett, ami szintén fokozódó piaci aktivitásra utal.</w:t>
      </w:r>
    </w:p>
    <w:p>
      <w:pPr/>
      <w:r>
        <w:rPr/>
        <w:t xml:space="preserve">„Ez a tendencia jelzi, hogy az OSP bejelentése látványos piaci alkalmazkodást indított el: egyes befektetők értékesítik meglévő ingatlanjaikat, ami az első lakást vásárlók számára még nagyobb kínálatot eredményezhet. Ennek a fő oka, hogy a program keresletet szív ki a bérleti piacról, ami fékezheti a bérleti díjakat, és stagnálást vagy akár csökkenést is okozhat” – mondta Szegő Péter, a Duna House vezető elemzője.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https://hellosajto.hu/?p=26336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B4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2025-10-21T15:00:43+00:00</dcterms:created>
  <dcterms:modified xsi:type="dcterms:W3CDTF">2025-10-21T15:00:43+00:00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