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Bővülő ingatlankínálat mellett higgadtabb kereslet</w:t>
      </w:r>
      <w:bookmarkEnd w:id="0"/>
    </w:p>
    <w:p>
      <w:pPr/>
      <w:r>
        <w:rPr/>
        <w:t xml:space="preserve">A fejlesztői szándék erősödése és a befektetői eladások is segítik a vevőket </w:t>
      </w:r>
    </w:p>
    <w:p>
      <w:pPr/>
      <w:r>
        <w:rPr/>
        <w:t xml:space="preserve">Az Otthon Start Program (OSP) hatására a nyár végén és ősz elején látványosan élénkült a lakáspiac, azonban a keresleti hullámot kísérő túlreagálás jelei mind eladói, mind vevői oldalon megmutatkoztak.</w:t>
      </w:r>
    </w:p>
    <w:p>
      <w:pPr/>
      <w:r>
        <w:rPr/>
        <w:t xml:space="preserve">A Duna House legfrissebb, szeptemberi keresletindexe (87 pont) továbbra is magas aktivitást jelez, de már látványosan elmarad az augusztusi, rekordmagas, 110 pontos értéktől. Mindez nem a piac teljes lehűlését, hanem a nyáron tapasztalt eufória egészséges normalizációját jelzi.</w:t>
      </w:r>
    </w:p>
    <w:p>
      <w:pPr/>
      <w:r>
        <w:rPr/>
        <w:t xml:space="preserve">„Az első hullámban a kapkodás, a sokszor túlárazott lakások megvétele és a nagyon sok licithelyzet nehezítette meg a vevők életét. Szeptemberben mindez jelentősen normalizálódott, és októberre már egy lényegesen nyugodtabb piacra számítunk vevői tekintetben. Az eladók oldalán is érzékelhető a korrekció, így a nyár végén helyenként tapasztalt túlárazások is fokozatosan visszarendeződnek a reálisabb ársávoknak megfelelően” – magyaráztaMáté Ferenc, a Duna House vezérigazgató-helyettese.</w:t>
      </w:r>
    </w:p>
    <w:p>
      <w:pPr/>
      <w:r>
        <w:rPr/>
        <w:t xml:space="preserve">Az OSP továbbra is erős ösztönzője marad a keresletnek, és az egyértelmű, a program hosszú távú fenntartását célzó kormányzati szándék higgadtabb tempót enged a piacnak. </w:t>
      </w:r>
    </w:p>
    <w:p>
      <w:pPr/>
      <w:r>
        <w:rPr/>
        <w:t xml:space="preserve">„Az újabb vevők így már kevésbé érzik, hogy azonnali döntést kell hozniuk, ez pedig kiegyensúlyozottabb alkuhelyzeteket és stabilabb piaci mozgásokat eredményezhet a negyedik negyedévben és 2026 elején” – tette hozzá Máté Ferenc.</w:t>
      </w:r>
    </w:p>
    <w:p>
      <w:pPr/>
      <w:r>
        <w:rPr/>
        <w:t xml:space="preserve">A korrekció jelei a kínálati oldalon is megmutatkoznak. Az új építésű lakások piacán a fejlesztői várakozások alapján a következő hónapokban érezhető kínálatbővülés indulhat el. Az a jogszabályi változás, amely lehetővé teszi a 3%-os hitel felvételét már a papíron létező, vagyis még építés előtt álló lakásokra is, jelentősen növeli a kiszámíthatóságot és a tervezhetőséget, ez pedig új lendületet adhat a kisebb és nagyobb lakásprojektek elindításának is. Ez elsősorban az OSP feltételeinek megfelelő, középkategóriás lakások esetében hozhat jelentős élénkülést. A kínálat növekedése középtávon a vásárlók számára igen kedvező lehet, mivel így több, kedvezően árazott új építésű lakás jelenhet meg a piacon.</w:t>
      </w:r>
    </w:p>
    <w:p>
      <w:pPr/>
      <w:r>
        <w:rPr/>
        <w:t xml:space="preserve">A használtlakás-kínálat bővülését pedig a befektetői eladások is erősíthetik. A Duna House adatai szerint például Budapesten már az összes eladás 37 százalékát teszik ki azok a tranzakciók, ahol a tulajdonosok a bérleti hozamok, vagyis az albérleti díjak várható, és helyenként már most is látható csökkenése miatt értékesítik ingatlanjaikat.</w:t>
      </w:r>
    </w:p>
    <w:p>
      <w:pPr/>
      <w:r>
        <w:rPr/>
        <w:t xml:space="preserve">Ez a folyamat a kínálat bővülésén keresztül mérsékelheti az ingatlanár-növekedés ütemét is. A Duna House szerint a most zajló kétoldalú korrekció összességében kedvező folyamatokat indíthat el: mérséklődhet a túlárazás és a piac visszatérhet a hosszú távon fenntartható, egészséges dinamikájához.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https://hellosajto.hu/?p=26217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F7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2025-10-16T14:50:05+00:00</dcterms:created>
  <dcterms:modified xsi:type="dcterms:W3CDTF">2025-10-16T14:50:05+00:00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