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Banki akciókkal indul az Otthon Start: akár 200 000 Ft jóváírás a lakáshitel mellé</w:t>
      </w:r>
      <w:bookmarkEnd w:id="0"/>
    </w:p>
    <w:p>
      <w:pPr/>
      <w:r>
        <w:rPr/>
        <w:t xml:space="preserve">Szeptembertől elérhető a hazai bankoknál az Otthon Start lakáshitel, amely fix 3%-os kamattal, akár 50 millió Ft hitelösszeggel és legfeljebb 25 éves futamidővel segíti az első lakásukat vásárlókat. A program rajtjára reagálva több bank jóváírási akciót hirdetett: a K&amp;H, a Gránit Bank, az Erste, a CIB és a Raiffeisen egyaránt 200 000 Ft egyszeri jóváírást kínál; az Erste bizonyos feltételek mellett akár 360 000 Ft, a K&amp;H pedig akár 320 000 Ft összesített kedvezményt ad. (Az akciók időszakosak és feltételekhez kötöttek.)</w:t>
      </w:r>
    </w:p>
    <w:p>
      <w:pPr/>
      <w:r>
        <w:rPr/>
        <w:t xml:space="preserve">„A fix 3% kamat történelmi léptékben is kedvező, és sok háztartásnál a törlesztő alacsonyabb lehet, mint egy hasonló értékű bérlakás havi díja. A banki jóváírások pedig tényleges, azonnali pénzügyi előnyt adnak – 200–360 ezer forintos egyszeri visszatérítésről beszélünk, feltételek teljesülése mellett” – mondta Csongrádi Richárd, a Banknavigator pénzügyi szakértője.</w:t>
      </w:r>
    </w:p>
    <w:p>
      <w:pPr/>
      <w:r>
        <w:rPr/>
        <w:t xml:space="preserve">Miért fontos a program?</w:t>
      </w:r>
    </w:p>
    <w:p>
      <w:pPr/>
      <w:r>
        <w:rPr/>
        <w:t xml:space="preserve">Az elmúlt években a lakásárak emelkedése és a 6–8% körüli piaci hitelkamatok sok család számára tette elérhetetlenné az otthonteremtést. Az Otthon Start célja, hogy stabil, alacsony kamatozású konstrukcióval adjon esélyt azoknak, akik első saját otthonukat vásárolják.</w:t>
      </w:r>
    </w:p>
    <w:p>
      <w:pPr/>
      <w:r>
        <w:rPr/>
        <w:t xml:space="preserve">A konstrukció fő feltételei (röviden)</w:t>
      </w:r>
    </w:p>
    <w:p>
      <w:pPr/>
      <w:r>
        <w:rPr/>
        <w:t xml:space="preserve">Fix ügyleti kamat: legfeljebb 3% (THM kb. 3,04%)</w:t>
      </w:r>
    </w:p>
    <w:p>
      <w:pPr/>
      <w:r>
        <w:rPr/>
        <w:t xml:space="preserve">Maximális hitelösszeg: 50 millió Ft</w:t>
      </w:r>
    </w:p>
    <w:p>
      <w:pPr/>
      <w:r>
        <w:rPr/>
        <w:t xml:space="preserve">Futamidő: legfeljebb 25 év</w:t>
      </w:r>
    </w:p>
    <w:p>
      <w:pPr/>
      <w:r>
        <w:rPr/>
        <w:t xml:space="preserve">Ingatlanár-plafon: lakás max. 100 millió Ft, családi ház vagy tanya max. 150 millió Ft</w:t>
      </w:r>
    </w:p>
    <w:p>
      <w:pPr/>
      <w:r>
        <w:rPr/>
        <w:t xml:space="preserve">Négyzetméterár-korlát: 1,5 millió Ft/m²</w:t>
      </w:r>
    </w:p>
    <w:p>
      <w:pPr/>
      <w:r>
        <w:rPr/>
        <w:t xml:space="preserve">Minimum önerő: 10% (pótfedezettel kiváltható)</w:t>
      </w:r>
    </w:p>
    <w:p>
      <w:pPr/>
      <w:r>
        <w:rPr/>
        <w:t xml:space="preserve">Jogosultság: az igénylést megelőző 10 évben nem lehetett 50%-nál nagyobb arányú belterületi lakástulajdon</w:t>
      </w:r>
    </w:p>
    <w:p>
      <w:pPr/>
      <w:r>
        <w:rPr/>
        <w:t xml:space="preserve">Jóváírási verseny a bankok között (aktuális kommunikáció alapján)</w:t>
      </w:r>
    </w:p>
    <w:p>
      <w:pPr/>
      <w:r>
        <w:rPr/>
        <w:t xml:space="preserve">200 000 Ft egyszeri jóváírás: K&amp;H, Gránit Bank, Erste (alapjóváírás), CIB, Raiffeisen</w:t>
      </w:r>
    </w:p>
    <w:p>
      <w:pPr/>
      <w:r>
        <w:rPr/>
        <w:t xml:space="preserve">Akár 360 000 Ft: Erste – halmozható elemekkel, feltételekkel</w:t>
      </w:r>
    </w:p>
    <w:p>
      <w:pPr/>
      <w:r>
        <w:rPr/>
        <w:t xml:space="preserve">Akár 320 000 Ft: K&amp;H – összesített kedvezményekkel, feltételekkel</w:t>
      </w:r>
    </w:p>
    <w:p>
      <w:pPr/>
      <w:r>
        <w:rPr/>
        <w:t xml:space="preserve">100 000 Ft pénzjóváírás: MBH Bank – tipikusan meghatározott hitelösszeg, számlacsomag és rendszeres jóváírás vállalása mellett</w:t>
      </w:r>
    </w:p>
    <w:p>
      <w:pPr/>
      <w:r>
        <w:rPr/>
        <w:t xml:space="preserve">Megjegyzés: egyes kedvezményekhez konkrét határidők és feltételek tartoznak (például hiánytalan befogadás, folyósítási határidő, jóváírás összege a teljesített vállalásoktól függ).</w:t>
      </w:r>
    </w:p>
    <w:p>
      <w:pPr/>
      <w:r>
        <w:rPr/>
        <w:t xml:space="preserve">Példaszámítás – Banknavigator kalkulátor alapján*</w:t>
      </w:r>
    </w:p>
    <w:p>
      <w:pPr/>
      <w:r>
        <w:rPr/>
        <w:t xml:space="preserve">10 millió Ft, 25 év: havi ~47 000 Ft, teljes visszafizetés ~14 millió Ft</w:t>
      </w:r>
    </w:p>
    <w:p>
      <w:pPr/>
      <w:r>
        <w:rPr/>
        <w:t xml:space="preserve">30 millió Ft, 25 év: havi ~143 000 Ft, teljes visszafizetés ~42 millió Ft</w:t>
      </w:r>
    </w:p>
    <w:p>
      <w:pPr/>
      <w:r>
        <w:rPr/>
        <w:t xml:space="preserve">50 millió Ft, 25 év: havi ~237 000 Ft, teljes visszafizetés ~71 millió Ft</w:t>
      </w:r>
    </w:p>
    <w:p>
      <w:pPr/>
      <w:r>
        <w:rPr/>
        <w:t xml:space="preserve">A havi törlesztőrészlet sok esetben alacsonyabb, mint egy budapesti bérlakás bérleti díja.</w:t>
      </w:r>
    </w:p>
    <w:p>
      <w:pPr/>
      <w:r>
        <w:rPr/>
        <w:t xml:space="preserve">Kombinálhatóság más támogatásokkal</w:t>
      </w:r>
    </w:p>
    <w:p>
      <w:pPr/>
      <w:r>
        <w:rPr/>
        <w:t xml:space="preserve">Az Otthon Start igénybe vehető más állami konstrukciókkal is – például CSOK Plusz, falusi CSOK, Babaváró – együtt, ami a családok mozgásterét több tízmillió forinttal növelheti.</w:t>
      </w:r>
    </w:p>
    <w:p>
      <w:pPr/>
      <w:r>
        <w:rPr/>
        <w:t xml:space="preserve">Várható piaci hatások</w:t>
      </w:r>
    </w:p>
    <w:p>
      <w:pPr/>
      <w:r>
        <w:rPr/>
        <w:t xml:space="preserve">A Banknavigator.hu elemzése szerint rövid távon elsősorban a vidéki piac élénkülhet, ahol az ingatlanárak könnyebben illeszkednek a plafonhoz. Hosszabb távon a fix kamat kiszámítható terhet jelent, miközben a bankok közötti akciós verseny közvetlen pénzügyi előnyt hoz az ügyfeleknek.</w:t>
      </w:r>
    </w:p>
    <w:p>
      <w:pPr/>
      <w:r>
        <w:rPr/>
        <w:t xml:space="preserve">Megjegyzések/Jogi nyilatkozat:A példaszámítások 3% éves kamattal és 25 éves futamidővel készültek, kerekítve. A THM bankonként, hitelösszegtől és járulékos költségektől függően eltérhet; a megadott ~3,04% THM mintaérték. A jóváírási promóciók feltételekhez kötöttek és időben változhatnak. A közlemény nem minősül ajánlattételnek vagy teljes körű terméktájékoztatónak. A jogosultsági és értékplafon-szabályok összefoglalók; a részleteket a hatályos jogszabály tartalmazza.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Csongrádi Richárd, ügyvezető</w:t>
      </w:r>
    </w:p>
    <w:p>
      <w:pPr>
        <w:numPr>
          <w:ilvl w:val="0"/>
          <w:numId w:val="1"/>
        </w:numPr>
      </w:pPr>
      <w:r>
        <w:rPr/>
        <w:t xml:space="preserve">Banknavigátor Kft.</w:t>
      </w:r>
    </w:p>
    <w:p>
      <w:pPr>
        <w:numPr>
          <w:ilvl w:val="0"/>
          <w:numId w:val="1"/>
        </w:numPr>
      </w:pPr>
      <w:r>
        <w:rPr/>
        <w:t xml:space="preserve">richard@csongradi.hu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</w:t>
            </w:r>
          </w:p>
        </w:tc>
      </w:tr>
    </w:tbl>
    <w:p>
      <w:pPr/>
      <w:r>
        <w:rPr/>
        <w:t xml:space="preserve">Eredeti tartalom: Banknavigator.hu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https://hellosajto.hu/25974/banki-akciokkal-indul-az-otthon-start-akar-200-000-ft-jovairas-a-lakashitel-melle/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Banknavigator.hu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25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2025-10-06T11:11:40+00:00</dcterms:created>
  <dcterms:modified xsi:type="dcterms:W3CDTF">2025-10-06T11:11:40+00:00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