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Budapesti Értéktőzsde is a BUMIX index tagja lett</w:t>
      </w:r>
      <w:bookmarkEnd w:id="0"/>
    </w:p>
    <w:p>
      <w:pPr/>
      <w:r>
        <w:rPr/>
        <w:t xml:space="preserve">A Budapesti Értéktőzsde részvénye is helyet kapott a BUMIX indexkosárban 2025. október 1-től. A határozat a Budapesti Értéktőzsde Nyrt. mint vállalat számára újabb mérföldkövet jelent, amely tovább erősítheti pozícióját a magyar tőkepiacon.</w:t>
      </w:r>
    </w:p>
    <w:p>
      <w:pPr/>
      <w:r>
        <w:rPr/>
        <w:t xml:space="preserve">A BUMIX a fő indexet (BUX) kiegészítő mutató, amely lehetőséget ad a blue-chipekhez képest kisebb tőkeértékű tőzsdei vállalatok indexbe kerülésére, ezzel is támogatva láthatóságukat. A vezető részvényindexhez, a BUX-hoz hasonlóan teljes hozamindexként működik, vagyis az árfolyamváltozások mellett az osztalékfizetés is beleszámít a BUMIX értékébe. A mutatót 2004-ben vezették be 1000 pontos bázisértékkel, eddigi legmagasabb, 9514,97 pontos szintjét pedig 2025. szeptember 11-én érte el.</w:t>
      </w:r>
    </w:p>
    <w:p>
      <w:pPr/>
      <w:r>
        <w:rPr/>
        <w:t xml:space="preserve">Mostantól a BUMIX indexkosárban a BÉT mellett összesen 17 társaság papírjai szerepelnek: a 4iG, az Alteo, az ANY Biztonsági Nyomda, az Appeninn, az AutoWallis, a BIF, a CIG Pannónia, a Delta Technologies, a Duna House, a Graphisoft Park SE, a Gránit Bank, a Masterplast, az MBH Jelzálogbank, a PannErgy, a Shopper Park Plus, a Waberer’s, valamint a Zwack.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5.03858875413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https://hellosajto.hu/?p=25940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2E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2025-10-02T15:24:37+00:00</dcterms:created>
  <dcterms:modified xsi:type="dcterms:W3CDTF">2025-10-02T15:24:37+00:00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