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Korrekció mellett is stabil forgalmat mutatott a Budapesti Értéktőzsde szeptemberben</w:t>
      </w:r>
      <w:bookmarkEnd w:id="0"/>
    </w:p>
    <w:p>
      <w:pPr/>
      <w:r>
        <w:rPr/>
        <w:t xml:space="preserve">Szeptemberben mérsékeltebb teljesítményt mutatott a Budapesti Értéktőzsde vezető indexe. A tavaszi-nyári csúcsokat követően a BUX szeptember végére 3,6 százalékos korrekcióval 98 871,6 ponton zárta a hónapot. Az azonnali részvénypiac forgalma ugyanakkor meghaladta az 330,9 milliárd forintot, amely napi átlagban 15 milliárd forintnak felelt meg. A legnagyobb kereskedési aktivitás szeptemberben is az OTP Bank, a Richter Gedeon és a MOL papírjaihoz kapcsolódott, 206,9, 40,4 és 32,8 milliárd forintos értékben. A brókercégek élmezőnyében megtartotta előző havi vezető pozícióját a WOOD &amp; Company, akit a Concorde és az ERSTE követett.</w:t>
      </w:r>
    </w:p>
    <w:p>
      <w:pPr/>
      <w:r>
        <w:rPr/>
        <w:t xml:space="preserve">Szeptemberben a globális tőkepiacokat elsősorban az amerikai kamatpálya alakulásával kapcsolatos várakozások mozgatták. Az Egyesült Államokban a vártnál erősebb gazdasági adatok mérsékelték a gyors kamatcsökkentés esélyét, ami visszafogta a főbb indexeket. Európában a befektetői hangulatot a fogyasztói és üzleti bizalom friss felmérései, valamint az energiaárak változása alakította, így csak kisebb elmozdulásokat lehetett tapasztalni. Ázsiában ezzel szemben élénkebb kereskedés volt jellemző, különösen a technológiai szektorban, amit a befektetői bizalom erősödése támogatott.</w:t>
      </w:r>
    </w:p>
    <w:p>
      <w:pPr/>
      <w:r>
        <w:rPr/>
        <w:t xml:space="preserve">A BUX szeptember 4-én még 104 000 pont fölé emelkedett, a havi kereskedést azonban 98 871,6 ponton zárta, ami augusztushoz képest 3,6 százalékos csökkenést jelent. A BÉT további indexei szintén mérsékelt korrekciót mutattak: a régiós nagyvállalatokat követő CETOP NTR 2 157,6 ponton, míg a kisebb, innovatív cégek teljesítményét jelző XTEND index 1 777,5 ponton zárta a hónapot. </w:t>
      </w:r>
    </w:p>
    <w:p>
      <w:pPr/>
      <w:r>
        <w:rPr/>
        <w:t xml:space="preserve">A blue chipek közül ismét az OTP Bank részvényei vonzották a legnagyobb tőkét, 206,9 milliárd forintos forgalommal. A bankot a Richter Gedeon követte 40,4 milliárd forinttal, míg a harmadik helyen a MOL végzett 32,8 milliárd forintos forgalommal. A közepes és kisebb kapitalizációjú vállalatok közül a RÁBA Nyrt. teljesítménye emelkedett ki, 51,3 százalékos árfolyam-emelkedést elérve szeptemberben.</w:t>
      </w:r>
    </w:p>
    <w:p>
      <w:pPr/>
      <w:r>
        <w:rPr/>
        <w:t xml:space="preserve">Az azonnali részvénypiac forgalma összesen 330,9 milliárd forintot tett ki, amely a napi átlagot tekintve augusztushoz képest enyhe csökkenést, azaz 15 milliárd forintot jelent.</w:t>
      </w:r>
    </w:p>
    <w:p>
      <w:pPr/>
      <w:r>
        <w:rPr/>
        <w:t xml:space="preserve">A befektetési szolgáltatók rangsorában szeptemberben a WOOD &amp; Company végzett az élen 189,2 milliárd forintos forgalommal. A második helyet a Concorde szerezte meg 184,8 milliárd forinttal, míg a dobogó harmadik fokán az ERSTE zárt 112,1 milliárd forintos forgalommal.</w:t>
      </w:r>
    </w:p>
    <w:p>
      <w:pPr/>
      <w:r>
        <w:rPr/>
        <w:t xml:space="preserve">A piaci események mellett a szeptember a Budapesti Értéktőzsde számára kiemelt szakmai és reputációs sikereket is hozott. A magyar tőzsde elnyerte a „CEE’s Best Exchange for Financial Literacy” (Közép- és Kelet-Európa legjobb pénzügyi edukációs tőzsdéje) díjat az Euromoney Capital Markets Awards keretében. Emellett a középvállalatokat támogató BÉT Mentor elnevezésű szolgáltatáspaletta idei harmadik workshopját is megtartották, amelynek középpontjában a mesterséges intelligencia és a kiberbiztonság gyakorlati kérdései álltak.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https://hellosajto.hu/?p=25910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28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2025-10-01T18:43:15+00:00</dcterms:created>
  <dcterms:modified xsi:type="dcterms:W3CDTF">2025-10-01T18:43:15+00:00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