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zöld átállás elősegítésében a jegybankoknak is fontos szerepük van</w:t>
      </w:r>
      <w:bookmarkEnd w:id="0"/>
    </w:p>
    <w:p>
      <w:pPr/>
      <w:r>
        <w:rPr/>
        <w:t xml:space="preserve">A világgazdaságot ma több oldalról is nagyfokú bizonytalanság övezi, ezért a jegybankok szerepe kulcsfontosságú a stabilitás megőrzésében és a kiszámítható környezet megteremtésében – jelentette ki Varga Mihály az AFCA Financial Summit fenntartható pénzügyi konferencia megnyitóján. A jegybankelnök kiemelte: a globális kihívásokkal felértékelődtek a nemzetközi együttműködések, ezért a Magyar Nemzeti Bank is aktív szereplője kíván maradni a Kelet és Nyugat közötti pénzügyi kapcsolatoknak.</w:t>
      </w:r>
    </w:p>
    <w:p>
      <w:pPr/>
      <w:r>
        <w:rPr/>
        <w:t xml:space="preserve">Varga Mihály kifejtette: Európa és Ázsia kapcsolata különösen fontos, hiszen a két kontinens földrajzilag és gazdaságilag is szorosan összefonódik. Ugyanakkor az olyan területek, mint a zöld átállás és az új energiaipar finanszírozása nemcsak gazdasági, hanem pénzügyi együttműködést is igényelnek. Mint mondta: napjainkban a jegybankoknak az árstabilitás védelme mellett a klímaváltozás okozta kockázatok kezelésében, a hosszú távú beruházások támogatásában is felelősségük van. A globális kihívások közepette ezeken a területeken a tudásmegosztás, a kölcsönös szakmai segítségnyújtás fontos eszköz - húzta alá a jegybankelnök. Bár a világpolitika szereplői a legmagasabb szinten is az együttműködések felé mozdulnak, a piaci stabilitás fenntartásához továbbra is elengedhetetlen a fegyelmezett monetáris politika fenntartása. Mint mondta: ezekben az időkben még hangsúlyosabbá váltak Magyarország és Kína közötti stratégiai együttműködések, amelyek a pénzügyi, gazdasági és infrastrukturális területeken is megnyilvánulnak. Varga Mihály ismertette: hazánk elkötelezett a nyitott és partnerségen alapuló gazdasági kapcsolatok mellett. Példaként említette, hogy Magyarország Európában elsőként bocsátott ki államkötvényt az offshore és onshore RMB piacon, amelyek hozzájárultak konkrét stratégiai infrastrukturális fejlesztések finanszírozásához.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https://hellosajto.hu/?p=24980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848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2025-08-25T20:22:21+00:00</dcterms:created>
  <dcterms:modified xsi:type="dcterms:W3CDTF">2025-08-25T20:22:21+00:00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