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Otthon Start Program a befektetők előnyét növeli: Íme a számok!</w:t>
      </w:r>
      <w:bookmarkEnd w:id="0"/>
    </w:p>
    <w:p>
      <w:pPr/>
      <w:r>
        <w:rPr/>
        <w:t xml:space="preserve">Az Otthon Start Program szeptemberi indulása jelentős hatással lesz az ingatlanpiac belső dinamikájára, különösen a vásárlási motivációk szempontjából. A Duna House friss piaci értékelése szerint a támogatott hitel bejelentése előtt már érezhetően elindult egy fordulat: növekedett a saját célú lakásvásárlások aránya, míg a befektetői vásárlások részaránya mérséklődött. Az új konstrukció azonban ismét a befektetői célú vásárlások felerősödését hozhatja magával, az első lakást vásárlók kárára.</w:t>
      </w:r>
    </w:p>
    <w:p>
      <w:pPr/>
      <w:r>
        <w:rPr/>
        <w:t xml:space="preserve">A Duna House adatai szerint 2025 első hónapjaiban még csökkenő tendenciát mutatott a befektetési céllal vásárlók aránya. Januárban a budapesti lakáspiacon a befektetők részesedése 40% körül mozgott, márciusra ez 45%-ra emelkedett, majd áprilisban 43%-on stabilizálódott. Ezzel együtt az első lakást vásárlók aránya a márciusi 16%-ról májusra 26%-ra emelkedett. Tehát egyre több olyan vevő jelent meg a piacon, akik saját célra kerestek ingatlant, ami arra utalt, hogy hosszú idő után újra egészségesebb egyensúly alakulhat ki a piacon.</w:t>
      </w:r>
    </w:p>
    <w:p>
      <w:pPr/>
      <w:r>
        <w:rPr/>
        <w:t xml:space="preserve">A saját célú vásárlói motivációk erősödését az is jelezte, hogy egyes befektetők (különösen azok, akik még a 2021-22-es piaci csúcson szereztek kisebb alapterületű, bérbeadásra szánt lakásokat) elkezdték az értékesítést. A Duna House júniusi közleménye szerint „eladási hullám” indult be a befektetői lakások piacán, amely elsősorban a belvárosi garzonokat és kisebb panellakásokat érintette.</w:t>
      </w:r>
    </w:p>
    <w:p>
      <w:pPr/>
      <w:r>
        <w:rPr/>
        <w:t xml:space="preserve">Ezt az üdvözölendő trendet törheti meg most az Otthon Start Program.</w:t>
      </w:r>
    </w:p>
    <w:p>
      <w:pPr/>
      <w:r>
        <w:rPr/>
        <w:t xml:space="preserve">„Az Otthon Start egyik figyelemre méltó előnye, hogy nincs bentlakási kötelezettség, így az ingatlan bérbe is adható. Ez önmagában is vonzóvá teheti a konstrukciót a befektetők szemében, hiszen az alacsony, fix kamatozású hitel és a kiszámítható bérleti hozam együtt erős befektetési lehetőséget jelent” – hangsúlyozta Szegő Péter, a Duna House vezető elemzője.</w:t>
      </w:r>
    </w:p>
    <w:p>
      <w:pPr/>
      <w:r>
        <w:rPr/>
        <w:t xml:space="preserve">A program leginkább azoknak elérhető, akik stabil, magasabb jövedelemmel és kellő mértékű önerővel rendelkeznek. A kereslet élénkítése ugyanakkor kínálatbővülés nélkül áremelkedéshez vezethet, ami éppen azokat a fiatalokat szoríthatja ki a piacról, akiket a program eredetileg segíteni kíván. (Ez a vevői kör a Duna House szintén júniusi közlése szerint már eleve háttérbe volt szorítva az ingatlanpiacon.)</w:t>
      </w:r>
    </w:p>
    <w:p>
      <w:pPr/>
      <w:r>
        <w:rPr/>
        <w:t xml:space="preserve">A Duna House elemzései alapján a befektetők ráadásul nemcsak aktívabbak, hanem nagyobb költési hajlandóságot is mutatnak: a 2025 első negyedévi budapesti adatok alapján a befektetők átlagosan 74,8 millió forintot költöttek ingatlanvásárlásra, míg az első lakást vásárlók átlagosan 66,4 millió forintból gazdálkodtak. A vásárlói erőt tehát továbbra is a sokszor korábbi lakástulajdonosként már régóta piacon lévő vevők képviselik.</w:t>
      </w:r>
    </w:p>
    <w:p>
      <w:pPr/>
      <w:r>
        <w:rPr/>
        <w:t xml:space="preserve">„Bár az Otthon Start Program célja az első lakás megszerzésének támogatása, jelenlegi feltételrendszere, különösen a bérbe adhatóság, a befektetői vásárlásokat is hangsúlyozottan ösztönzi. Ennek eredményeképp félremehet az a szándék, amely a saját célú vásárlások arányának növekedését célozná” – tette hozzá Szegő Péter.</w:t>
      </w:r>
    </w:p>
    <w:p>
      <w:pPr/>
      <w:r>
        <w:rPr/>
        <w:t xml:space="preserve">A piaci egyensúly szempontjából a Duna House szakértője fontosnak tartja, hogy a keresletélénkítés mellett kínálati ösztönzők is megjelenjenek, például építési engedélyezés egyszerűsítése, új lakások építésének támogatása, infrastrukturális beruházások. Ezek hiányában ugyanis az állami programok, bármilyen jó szándékúak is, áremelkedést és versenyhelyzet-romlást okozhatnak a valóban rászoruló vásárlói körök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https://hellosajto.hu/?p=24620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B4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2025-08-05T17:26:58+00:00</dcterms:created>
  <dcterms:modified xsi:type="dcterms:W3CDTF">2025-08-05T17:26:58+00:00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