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Panelboomot hozhat a lakáspiacon az Otthon Start Program</w:t>
      </w:r>
      <w:bookmarkEnd w:id="0"/>
    </w:p>
    <w:p>
      <w:pPr/>
      <w:r>
        <w:rPr/>
        <w:t xml:space="preserve">A panellakások és ezek eladói lehetnek az Otthon Start Program nyertesei, mivel a fiatal első lakásvásárlók körében már eddig is népszerű ingatlantípusnak számítottak.</w:t>
      </w:r>
    </w:p>
    <w:p>
      <w:pPr/>
      <w:r>
        <w:rPr/>
        <w:t xml:space="preserve">A panelek népszerűségének egyik oka, hogy 26 százalékkal olcsóbbak, mint egy hasonló helyen található hasonló állapotú téglaépítésű lakás.</w:t>
      </w:r>
    </w:p>
    <w:p>
      <w:pPr/>
      <w:r>
        <w:rPr/>
        <w:t xml:space="preserve">Az ingatlan.com megnézte, hogy a különböző fővárosi kerületekben és egyetemvárosokban a leggyakoribb 53 négyzetméteres panellakások esetében hogyan alakul az ingatlanok átlagára, a vásárláshoz szükséges önrész összege, valamint a kedvezményes hitel törlesztőrészlete és az átlagos bérleti díja.</w:t>
      </w:r>
    </w:p>
    <w:p>
      <w:pPr/>
      <w:r>
        <w:rPr/>
        <w:t xml:space="preserve">A kutatásból kiderült, hogy az esetek többségében egy Otthon Start hitelből finanszírozott 53 négyzetméteres panellakás havi törlesztőrészlete kevesebb, mint ugyanannak a lakásnak a bérleti díja.</w:t>
      </w:r>
    </w:p>
    <w:p>
      <w:pPr/>
      <w:r>
        <w:rPr/>
        <w:t xml:space="preserve">A panellakások is kiemelt szerepet kaphatnak az első lakásvásárlóknak meghirdetett Otthon Start Programban. Elsősorban azért, mert viszonylag olcsók és a bérléshez képest sok esetben jobb alternatívát nyújtanak. A program keretében elérhető kedvezményes lakáshitellel számolva már havi néhány ezer forintos különbség dönt arról, hogy jobban megéri-e bérelni vagy saját panelt venni – derül ki az ingatlan.com friss elemzéséből. A kutatás több mint 6000 ingatlanhirdetés alapján vizsgálta a 18–35 éves korosztály népszerű célpontját, az 53 négyzetméteres panellakásokat Budapesten és az egyetemvárosokban.</w:t>
      </w:r>
    </w:p>
    <w:p>
      <w:pPr/>
      <w:r>
        <w:rPr/>
        <w:t xml:space="preserve">„A fiatalok első lakásvásárlása szempontjából kulcsszerepe lehet a paneleknél tapasztalható viszonylag alacsony árszintnek. Az 53 négyzetméteres panellakások jellemzően 2 szobásak, és ez a leggyakoribb méret a teljes kínálatban. Jellemző még az eladó panelekre, hogy az áruk 26 százalékkal alacsonyabb a hasonló helyen található és hasonló állapotú téglaépítésű ingatlanokénál. Ráadásul a havi törlesztőrészlet sokszor kevesebb vagy nem haladja meg jelentősen az albérleti díjat” – mondta Balogh László, az ingatlan.com vezető gazdasági szakértője.</w:t>
      </w:r>
    </w:p>
    <w:p>
      <w:pPr/>
      <w:r>
        <w:rPr/>
        <w:t xml:space="preserve">A 18–35 év közötti lakásvásárlók körében eleve népszerűek a panellakások. Az elmúlt 5 évben a fiatalok által megvásárolt lakóingatlanok közül a panelek Budapesten 26 százalékot, a vármegyeszékhelyeken pedig 37 százalékot tettek ki.</w:t>
      </w:r>
    </w:p>
    <w:p>
      <w:pPr/>
      <w:r>
        <w:rPr/>
        <w:t xml:space="preserve">„Ez is azt mutatja, hogy a fiatalok tudatosan keresik a kedvezőbb belépési pontokat az ingatlanpiacon, amiben az Otthon Start program is jelentős segítséget nyújthat” – tette hozzá Balogh László.</w:t>
      </w:r>
    </w:p>
    <w:p>
      <w:pPr/>
      <w:r>
        <w:rPr/>
        <w:t xml:space="preserve">Szintén a panelek mellett szólhat, hogy kedvező tömegközlekedési lehetőségekkel rendelkeznek, és a közelükben rendszerint széles körben érhetők el a különböző szolgáltatások, valamint bevásárlási lehetőségek.</w:t>
      </w:r>
    </w:p>
    <w:p>
      <w:pPr/>
      <w:r>
        <w:rPr/>
        <w:t xml:space="preserve">Törlesztőrészlet kontra bérleti díj</w:t>
      </w:r>
    </w:p>
    <w:p>
      <w:pPr/>
      <w:r>
        <w:rPr/>
        <w:t xml:space="preserve">A budapesti 53 négyzetméteres panellakások átlagos ára 59 millió forint, amihez 9 millió forint önrész szükséges egy otthon start hitel esetén. Egy átlagos fővárosi panellakás havi törlesztőrészlete 237 ezer forint, ami 8 ezer forinttal kevesebb mint a bérleti díja. A legolcsóbb városrész a XVIII. kerület, ahol egy 53 négyzetméteres panellakás átlagosan 51,6 millió forintba kerül, a havi törlesztőrészlete pedig 220 millió forint, ami közel 20 ezer forinttal olcsóbb, mint a típuslakás átlagos bérleti díja egy hónapban. Érdekesség, hogy a kerületben eladó panellakások jellemzői megegyeznek a debreceni 53 négyzetméteres panellakások adataival. Igaz, ott ezeknek az ingatlanoknak az átlagos bérleti díja 212 ezer forintot tesz ki havonta. Budapesten öt további városrészben, a VIII., X., XVII., XXI. és XXIII. kerületekben, 6 millió forintnál is kevesebb önrész is elegendő egy kétszobás panellakás megvásárlásához.</w:t>
      </w:r>
    </w:p>
    <w:p>
      <w:pPr/>
      <w:r>
        <w:rPr/>
        <w:t xml:space="preserve">A vármegyeszékhelyek közül Pécsett és Miskolcon különösen kedvezőbb a vásárlás: 42, illetve 26 millió forintért juthatunk panellakáshoz. Ezeknek a törlesztőrészlete rendre alacsonyabb, mint az albérleti díja. Miskolcon például a havi törlesztő 111 ezer, míg a bérleti díj 129 ezer forint. Az ingatlan.com szakértője kiemelte: a panelpiac hosszú távú befektetés szempontjából is jó célpont lehet az első lakásvásárlóknak. Az alacsonyabb árszintjük miatt folyamatosan magas irántuk a kereslet, így ezek az ingatlanok később is könnyen eladhatók vagy kiadhatók, ami biztonságot nyújt a tulajdonosoknak.</w:t>
      </w:r>
    </w:p>
    <w:p>
      <w:pPr/>
      <w:r>
        <w:rPr/>
        <w:t xml:space="preserve">53 négyzetméteres panellakások adatai az ingatlan.com kínálatában és a vásárláshoz kapcsolódó Otthon Start hitelkonstrukció jellemzőiBudapesti kerület / VármegyeszékhelyÁtlagár (millió Ft)Szükséges önrész összege (millió Ft)Havi törlesztőrészlet (ezer Ft/hó)</w:t>
      </w:r>
    </w:p>
    <w:p>
      <w:pPr/>
      <w:r>
        <w:rPr/>
        <w:t xml:space="preserve">Átlagos albérletár (Ezer Ft/hó)</w:t>
      </w:r>
    </w:p>
    <w:p>
      <w:pPr/>
      <w:r>
        <w:rPr/>
        <w:t xml:space="preserve">III.</w:t>
      </w:r>
    </w:p>
    <w:p>
      <w:pPr/>
      <w:r>
        <w:rPr/>
        <w:t xml:space="preserve">61,1</w:t>
      </w:r>
    </w:p>
    <w:p>
      <w:pPr/>
      <w:r>
        <w:rPr/>
        <w:t xml:space="preserve">11,1</w:t>
      </w:r>
    </w:p>
    <w:p>
      <w:pPr/>
      <w:r>
        <w:rPr/>
        <w:t xml:space="preserve">237,1</w:t>
      </w:r>
    </w:p>
    <w:p>
      <w:pPr/>
      <w:r>
        <w:rPr/>
        <w:t xml:space="preserve">242,3</w:t>
      </w:r>
    </w:p>
    <w:p>
      <w:pPr/>
      <w:r>
        <w:rPr/>
        <w:t xml:space="preserve">IV.</w:t>
      </w:r>
    </w:p>
    <w:p>
      <w:pPr/>
      <w:r>
        <w:rPr/>
        <w:t xml:space="preserve">57,7</w:t>
      </w:r>
    </w:p>
    <w:p>
      <w:pPr/>
      <w:r>
        <w:rPr/>
        <w:t xml:space="preserve">7,7</w:t>
      </w:r>
    </w:p>
    <w:p>
      <w:pPr/>
      <w:r>
        <w:rPr/>
        <w:t xml:space="preserve">237,1</w:t>
      </w:r>
    </w:p>
    <w:p>
      <w:pPr/>
      <w:r>
        <w:rPr/>
        <w:t xml:space="preserve">219,2</w:t>
      </w:r>
    </w:p>
    <w:p>
      <w:pPr/>
      <w:r>
        <w:rPr/>
        <w:t xml:space="preserve">IX.</w:t>
      </w:r>
    </w:p>
    <w:p>
      <w:pPr/>
      <w:r>
        <w:rPr/>
        <w:t xml:space="preserve">61,7</w:t>
      </w:r>
    </w:p>
    <w:p>
      <w:pPr/>
      <w:r>
        <w:rPr/>
        <w:t xml:space="preserve">11,7</w:t>
      </w:r>
    </w:p>
    <w:p>
      <w:pPr/>
      <w:r>
        <w:rPr/>
        <w:t xml:space="preserve">237,1</w:t>
      </w:r>
    </w:p>
    <w:p>
      <w:pPr/>
      <w:r>
        <w:rPr/>
        <w:t xml:space="preserve">247,0</w:t>
      </w:r>
    </w:p>
    <w:p>
      <w:pPr/>
      <w:r>
        <w:rPr/>
        <w:t xml:space="preserve">VIII.</w:t>
      </w:r>
    </w:p>
    <w:p>
      <w:pPr/>
      <w:r>
        <w:rPr/>
        <w:t xml:space="preserve">55,2</w:t>
      </w:r>
    </w:p>
    <w:p>
      <w:pPr/>
      <w:r>
        <w:rPr/>
        <w:t xml:space="preserve">5,5</w:t>
      </w:r>
    </w:p>
    <w:p>
      <w:pPr/>
      <w:r>
        <w:rPr/>
        <w:t xml:space="preserve">235,7</w:t>
      </w:r>
    </w:p>
    <w:p>
      <w:pPr/>
      <w:r>
        <w:rPr/>
        <w:t xml:space="preserve">261,2</w:t>
      </w:r>
    </w:p>
    <w:p>
      <w:pPr/>
      <w:r>
        <w:rPr/>
        <w:t xml:space="preserve">X.</w:t>
      </w:r>
    </w:p>
    <w:p>
      <w:pPr/>
      <w:r>
        <w:rPr/>
        <w:t xml:space="preserve">54,6</w:t>
      </w:r>
    </w:p>
    <w:p>
      <w:pPr/>
      <w:r>
        <w:rPr/>
        <w:t xml:space="preserve">5,5</w:t>
      </w:r>
    </w:p>
    <w:p>
      <w:pPr/>
      <w:r>
        <w:rPr/>
        <w:t xml:space="preserve">233,0</w:t>
      </w:r>
    </w:p>
    <w:p>
      <w:pPr/>
      <w:r>
        <w:rPr/>
        <w:t xml:space="preserve">230,9</w:t>
      </w:r>
    </w:p>
    <w:p>
      <w:pPr/>
      <w:r>
        <w:rPr/>
        <w:t xml:space="preserve">XI.</w:t>
      </w:r>
    </w:p>
    <w:p>
      <w:pPr/>
      <w:r>
        <w:rPr/>
        <w:t xml:space="preserve">73,8</w:t>
      </w:r>
    </w:p>
    <w:p>
      <w:pPr/>
      <w:r>
        <w:rPr/>
        <w:t xml:space="preserve">23,8</w:t>
      </w:r>
    </w:p>
    <w:p>
      <w:pPr/>
      <w:r>
        <w:rPr/>
        <w:t xml:space="preserve">237,1</w:t>
      </w:r>
    </w:p>
    <w:p>
      <w:pPr/>
      <w:r>
        <w:rPr/>
        <w:t xml:space="preserve">259,8</w:t>
      </w:r>
    </w:p>
    <w:p>
      <w:pPr/>
      <w:r>
        <w:rPr/>
        <w:t xml:space="preserve">XIII.</w:t>
      </w:r>
    </w:p>
    <w:p>
      <w:pPr/>
      <w:r>
        <w:rPr/>
        <w:t xml:space="preserve">66,7</w:t>
      </w:r>
    </w:p>
    <w:p>
      <w:pPr/>
      <w:r>
        <w:rPr/>
        <w:t xml:space="preserve">16,7</w:t>
      </w:r>
    </w:p>
    <w:p>
      <w:pPr/>
      <w:r>
        <w:rPr/>
        <w:t xml:space="preserve">237,1</w:t>
      </w:r>
    </w:p>
    <w:p>
      <w:pPr/>
      <w:r>
        <w:rPr/>
        <w:t xml:space="preserve">258,0</w:t>
      </w:r>
    </w:p>
    <w:p>
      <w:pPr/>
      <w:r>
        <w:rPr/>
        <w:t xml:space="preserve">XIV.</w:t>
      </w:r>
    </w:p>
    <w:p>
      <w:pPr/>
      <w:r>
        <w:rPr/>
        <w:t xml:space="preserve">62,9</w:t>
      </w:r>
    </w:p>
    <w:p>
      <w:pPr/>
      <w:r>
        <w:rPr/>
        <w:t xml:space="preserve">12,9</w:t>
      </w:r>
    </w:p>
    <w:p>
      <w:pPr/>
      <w:r>
        <w:rPr/>
        <w:t xml:space="preserve">237,1</w:t>
      </w:r>
    </w:p>
    <w:p>
      <w:pPr/>
      <w:r>
        <w:rPr/>
        <w:t xml:space="preserve">247,7</w:t>
      </w:r>
    </w:p>
    <w:p>
      <w:pPr/>
      <w:r>
        <w:rPr/>
        <w:t xml:space="preserve">XIX.</w:t>
      </w:r>
    </w:p>
    <w:p>
      <w:pPr/>
      <w:r>
        <w:rPr/>
        <w:t xml:space="preserve">56,5</w:t>
      </w:r>
    </w:p>
    <w:p>
      <w:pPr/>
      <w:r>
        <w:rPr/>
        <w:t xml:space="preserve">6,5</w:t>
      </w:r>
    </w:p>
    <w:p>
      <w:pPr/>
      <w:r>
        <w:rPr/>
        <w:t xml:space="preserve">237,1</w:t>
      </w:r>
    </w:p>
    <w:p>
      <w:pPr/>
      <w:r>
        <w:rPr/>
        <w:t xml:space="preserve">220,4</w:t>
      </w:r>
    </w:p>
    <w:p>
      <w:pPr/>
      <w:r>
        <w:rPr/>
        <w:t xml:space="preserve">XV.</w:t>
      </w:r>
    </w:p>
    <w:p>
      <w:pPr/>
      <w:r>
        <w:rPr/>
        <w:t xml:space="preserve">57,2</w:t>
      </w:r>
    </w:p>
    <w:p>
      <w:pPr/>
      <w:r>
        <w:rPr/>
        <w:t xml:space="preserve">7,2</w:t>
      </w:r>
    </w:p>
    <w:p>
      <w:pPr/>
      <w:r>
        <w:rPr/>
        <w:t xml:space="preserve">237,1</w:t>
      </w:r>
    </w:p>
    <w:p>
      <w:pPr/>
      <w:r>
        <w:rPr/>
        <w:t xml:space="preserve">223,3</w:t>
      </w:r>
    </w:p>
    <w:p>
      <w:pPr/>
      <w:r>
        <w:rPr/>
        <w:t xml:space="preserve">XVI.</w:t>
      </w:r>
    </w:p>
    <w:p>
      <w:pPr/>
      <w:r>
        <w:rPr/>
        <w:t xml:space="preserve">58,7</w:t>
      </w:r>
    </w:p>
    <w:p>
      <w:pPr/>
      <w:r>
        <w:rPr/>
        <w:t xml:space="preserve">8,7</w:t>
      </w:r>
    </w:p>
    <w:p>
      <w:pPr/>
      <w:r>
        <w:rPr/>
        <w:t xml:space="preserve">237,1</w:t>
      </w:r>
    </w:p>
    <w:p>
      <w:pPr/>
      <w:r>
        <w:rPr/>
        <w:t xml:space="preserve">212,0</w:t>
      </w:r>
    </w:p>
    <w:p>
      <w:pPr/>
      <w:r>
        <w:rPr/>
        <w:t xml:space="preserve">XVII.</w:t>
      </w:r>
    </w:p>
    <w:p>
      <w:pPr/>
      <w:r>
        <w:rPr/>
        <w:t xml:space="preserve">54,6</w:t>
      </w:r>
    </w:p>
    <w:p>
      <w:pPr/>
      <w:r>
        <w:rPr/>
        <w:t xml:space="preserve">5,5</w:t>
      </w:r>
    </w:p>
    <w:p>
      <w:pPr/>
      <w:r>
        <w:rPr/>
        <w:t xml:space="preserve">233,0</w:t>
      </w:r>
    </w:p>
    <w:p>
      <w:pPr/>
      <w:r>
        <w:rPr/>
        <w:t xml:space="preserve">176,6</w:t>
      </w:r>
    </w:p>
    <w:p>
      <w:pPr/>
      <w:r>
        <w:rPr/>
        <w:t xml:space="preserve">XVIII.</w:t>
      </w:r>
    </w:p>
    <w:p>
      <w:pPr/>
      <w:r>
        <w:rPr/>
        <w:t xml:space="preserve">51,6</w:t>
      </w:r>
    </w:p>
    <w:p>
      <w:pPr/>
      <w:r>
        <w:rPr/>
        <w:t xml:space="preserve">5,2</w:t>
      </w:r>
    </w:p>
    <w:p>
      <w:pPr/>
      <w:r>
        <w:rPr/>
        <w:t xml:space="preserve">220,3</w:t>
      </w:r>
    </w:p>
    <w:p>
      <w:pPr/>
      <w:r>
        <w:rPr/>
        <w:t xml:space="preserve">241,0</w:t>
      </w:r>
    </w:p>
    <w:p>
      <w:pPr/>
      <w:r>
        <w:rPr/>
        <w:t xml:space="preserve">XX.</w:t>
      </w:r>
    </w:p>
    <w:p>
      <w:pPr/>
      <w:r>
        <w:rPr/>
        <w:t xml:space="preserve">52,6</w:t>
      </w:r>
    </w:p>
    <w:p>
      <w:pPr/>
      <w:r>
        <w:rPr/>
        <w:t xml:space="preserve">5,3</w:t>
      </w:r>
    </w:p>
    <w:p>
      <w:pPr/>
      <w:r>
        <w:rPr/>
        <w:t xml:space="preserve">224,4</w:t>
      </w:r>
    </w:p>
    <w:p>
      <w:pPr/>
      <w:r>
        <w:rPr/>
        <w:t xml:space="preserve">217,2</w:t>
      </w:r>
    </w:p>
    <w:p>
      <w:pPr/>
      <w:r>
        <w:rPr/>
        <w:t xml:space="preserve">XXI.</w:t>
      </w:r>
    </w:p>
    <w:p>
      <w:pPr/>
      <w:r>
        <w:rPr/>
        <w:t xml:space="preserve">53,8</w:t>
      </w:r>
    </w:p>
    <w:p>
      <w:pPr/>
      <w:r>
        <w:rPr/>
        <w:t xml:space="preserve">5,4</w:t>
      </w:r>
    </w:p>
    <w:p>
      <w:pPr/>
      <w:r>
        <w:rPr/>
        <w:t xml:space="preserve">229,6</w:t>
      </w:r>
    </w:p>
    <w:p>
      <w:pPr/>
      <w:r>
        <w:rPr/>
        <w:t xml:space="preserve">203,5</w:t>
      </w:r>
    </w:p>
    <w:p>
      <w:pPr/>
      <w:r>
        <w:rPr/>
        <w:t xml:space="preserve">XXII.</w:t>
      </w:r>
    </w:p>
    <w:p>
      <w:pPr/>
      <w:r>
        <w:rPr/>
        <w:t xml:space="preserve">60,4</w:t>
      </w:r>
    </w:p>
    <w:p>
      <w:pPr/>
      <w:r>
        <w:rPr/>
        <w:t xml:space="preserve">10,4</w:t>
      </w:r>
    </w:p>
    <w:p>
      <w:pPr/>
      <w:r>
        <w:rPr/>
        <w:t xml:space="preserve">237,1</w:t>
      </w:r>
    </w:p>
    <w:p>
      <w:pPr/>
      <w:r>
        <w:rPr/>
        <w:t xml:space="preserve">234,0</w:t>
      </w:r>
    </w:p>
    <w:p>
      <w:pPr/>
      <w:r>
        <w:rPr/>
        <w:t xml:space="preserve">XXIII.</w:t>
      </w:r>
    </w:p>
    <w:p>
      <w:pPr/>
      <w:r>
        <w:rPr/>
        <w:t xml:space="preserve">53,8</w:t>
      </w:r>
    </w:p>
    <w:p>
      <w:pPr/>
      <w:r>
        <w:rPr/>
        <w:t xml:space="preserve">5,4</w:t>
      </w:r>
    </w:p>
    <w:p>
      <w:pPr/>
      <w:r>
        <w:rPr/>
        <w:t xml:space="preserve">229,6</w:t>
      </w:r>
    </w:p>
    <w:p>
      <w:pPr/>
      <w:r>
        <w:rPr/>
        <w:t xml:space="preserve">225,6</w:t>
      </w:r>
    </w:p>
    <w:p>
      <w:pPr/>
      <w:r>
        <w:rPr/>
        <w:t xml:space="preserve">Budapest összesen</w:t>
      </w:r>
    </w:p>
    <w:p>
      <w:pPr/>
      <w:r>
        <w:rPr/>
        <w:t xml:space="preserve">59,0</w:t>
      </w:r>
    </w:p>
    <w:p>
      <w:pPr/>
      <w:r>
        <w:rPr/>
        <w:t xml:space="preserve">9,0</w:t>
      </w:r>
    </w:p>
    <w:p>
      <w:pPr/>
      <w:r>
        <w:rPr/>
        <w:t xml:space="preserve">237,1</w:t>
      </w:r>
    </w:p>
    <w:p>
      <w:pPr/>
      <w:r>
        <w:rPr/>
        <w:t xml:space="preserve">245,0</w:t>
      </w:r>
    </w:p>
    <w:p>
      <w:pPr/>
      <w:r>
        <w:rPr/>
        <w:t xml:space="preserve">Békéscsaba</w:t>
      </w:r>
    </w:p>
    <w:p>
      <w:pPr/>
      <w:r>
        <w:rPr/>
        <w:t xml:space="preserve">27,9</w:t>
      </w:r>
    </w:p>
    <w:p>
      <w:pPr/>
      <w:r>
        <w:rPr/>
        <w:t xml:space="preserve">2,8</w:t>
      </w:r>
    </w:p>
    <w:p>
      <w:pPr/>
      <w:r>
        <w:rPr/>
        <w:t xml:space="preserve">119,2</w:t>
      </w:r>
    </w:p>
    <w:p>
      <w:pPr/>
      <w:r>
        <w:rPr/>
        <w:t xml:space="preserve">111,0</w:t>
      </w:r>
    </w:p>
    <w:p>
      <w:pPr/>
      <w:r>
        <w:rPr/>
        <w:t xml:space="preserve">Debrecen</w:t>
      </w:r>
    </w:p>
    <w:p>
      <w:pPr/>
      <w:r>
        <w:rPr/>
        <w:t xml:space="preserve">51,4</w:t>
      </w:r>
    </w:p>
    <w:p>
      <w:pPr/>
      <w:r>
        <w:rPr/>
        <w:t xml:space="preserve">5,1</w:t>
      </w:r>
    </w:p>
    <w:p>
      <w:pPr/>
      <w:r>
        <w:rPr/>
        <w:t xml:space="preserve">219,4</w:t>
      </w:r>
    </w:p>
    <w:p>
      <w:pPr/>
      <w:r>
        <w:rPr/>
        <w:t xml:space="preserve">212,0</w:t>
      </w:r>
    </w:p>
    <w:p>
      <w:pPr/>
      <w:r>
        <w:rPr/>
        <w:t xml:space="preserve">Eger</w:t>
      </w:r>
    </w:p>
    <w:p>
      <w:pPr/>
      <w:r>
        <w:rPr/>
        <w:t xml:space="preserve">34,5</w:t>
      </w:r>
    </w:p>
    <w:p>
      <w:pPr/>
      <w:r>
        <w:rPr/>
        <w:t xml:space="preserve">3,4</w:t>
      </w:r>
    </w:p>
    <w:p>
      <w:pPr/>
      <w:r>
        <w:rPr/>
        <w:t xml:space="preserve">147,0</w:t>
      </w:r>
    </w:p>
    <w:p>
      <w:pPr/>
      <w:r>
        <w:rPr/>
        <w:t xml:space="preserve">123,3</w:t>
      </w:r>
    </w:p>
    <w:p>
      <w:pPr/>
      <w:r>
        <w:rPr/>
        <w:t xml:space="preserve">Győr</w:t>
      </w:r>
    </w:p>
    <w:p>
      <w:pPr/>
      <w:r>
        <w:rPr/>
        <w:t xml:space="preserve">43,0</w:t>
      </w:r>
    </w:p>
    <w:p>
      <w:pPr/>
      <w:r>
        <w:rPr/>
        <w:t xml:space="preserve">4,3</w:t>
      </w:r>
    </w:p>
    <w:p>
      <w:pPr/>
      <w:r>
        <w:rPr/>
        <w:t xml:space="preserve">183,4</w:t>
      </w:r>
    </w:p>
    <w:p>
      <w:pPr/>
      <w:r>
        <w:rPr/>
        <w:t xml:space="preserve">160,9</w:t>
      </w:r>
    </w:p>
    <w:p>
      <w:pPr/>
      <w:r>
        <w:rPr/>
        <w:t xml:space="preserve">Kaposvár</w:t>
      </w:r>
    </w:p>
    <w:p>
      <w:pPr/>
      <w:r>
        <w:rPr/>
        <w:t xml:space="preserve">30,6</w:t>
      </w:r>
    </w:p>
    <w:p>
      <w:pPr/>
      <w:r>
        <w:rPr/>
        <w:t xml:space="preserve">3,1</w:t>
      </w:r>
    </w:p>
    <w:p>
      <w:pPr/>
      <w:r>
        <w:rPr/>
        <w:t xml:space="preserve">130,5</w:t>
      </w:r>
    </w:p>
    <w:p>
      <w:pPr/>
      <w:r>
        <w:rPr/>
        <w:t xml:space="preserve">140,6</w:t>
      </w:r>
    </w:p>
    <w:p>
      <w:pPr/>
      <w:r>
        <w:rPr/>
        <w:t xml:space="preserve">Kecskemét</w:t>
      </w:r>
    </w:p>
    <w:p>
      <w:pPr/>
      <w:r>
        <w:rPr/>
        <w:t xml:space="preserve">39,9</w:t>
      </w:r>
    </w:p>
    <w:p>
      <w:pPr/>
      <w:r>
        <w:rPr/>
        <w:t xml:space="preserve">4,0</w:t>
      </w:r>
    </w:p>
    <w:p>
      <w:pPr/>
      <w:r>
        <w:rPr/>
        <w:t xml:space="preserve">170,3</w:t>
      </w:r>
    </w:p>
    <w:p>
      <w:pPr/>
      <w:r>
        <w:rPr/>
        <w:t xml:space="preserve">137,8</w:t>
      </w:r>
    </w:p>
    <w:p>
      <w:pPr/>
      <w:r>
        <w:rPr/>
        <w:t xml:space="preserve">Miskolc</w:t>
      </w:r>
    </w:p>
    <w:p>
      <w:pPr/>
      <w:r>
        <w:rPr/>
        <w:t xml:space="preserve">26,0</w:t>
      </w:r>
    </w:p>
    <w:p>
      <w:pPr/>
      <w:r>
        <w:rPr/>
        <w:t xml:space="preserve">2,6</w:t>
      </w:r>
    </w:p>
    <w:p>
      <w:pPr/>
      <w:r>
        <w:rPr/>
        <w:t xml:space="preserve">110,8</w:t>
      </w:r>
    </w:p>
    <w:p>
      <w:pPr/>
      <w:r>
        <w:rPr/>
        <w:t xml:space="preserve">129,0</w:t>
      </w:r>
    </w:p>
    <w:p>
      <w:pPr/>
      <w:r>
        <w:rPr/>
        <w:t xml:space="preserve">Nyíregyháza</w:t>
      </w:r>
    </w:p>
    <w:p>
      <w:pPr/>
      <w:r>
        <w:rPr/>
        <w:t xml:space="preserve">35,1</w:t>
      </w:r>
    </w:p>
    <w:p>
      <w:pPr/>
      <w:r>
        <w:rPr/>
        <w:t xml:space="preserve">3,5</w:t>
      </w:r>
    </w:p>
    <w:p>
      <w:pPr/>
      <w:r>
        <w:rPr/>
        <w:t xml:space="preserve">149,7</w:t>
      </w:r>
    </w:p>
    <w:p>
      <w:pPr/>
      <w:r>
        <w:rPr/>
        <w:t xml:space="preserve">174,6</w:t>
      </w:r>
    </w:p>
    <w:p>
      <w:pPr/>
      <w:r>
        <w:rPr/>
        <w:t xml:space="preserve">Pécs</w:t>
      </w:r>
    </w:p>
    <w:p>
      <w:pPr/>
      <w:r>
        <w:rPr/>
        <w:t xml:space="preserve">42,0</w:t>
      </w:r>
    </w:p>
    <w:p>
      <w:pPr/>
      <w:r>
        <w:rPr/>
        <w:t xml:space="preserve">4,2</w:t>
      </w:r>
    </w:p>
    <w:p>
      <w:pPr/>
      <w:r>
        <w:rPr/>
        <w:t xml:space="preserve">179,1</w:t>
      </w:r>
    </w:p>
    <w:p>
      <w:pPr/>
      <w:r>
        <w:rPr/>
        <w:t xml:space="preserve">194,2</w:t>
      </w:r>
    </w:p>
    <w:p>
      <w:pPr/>
      <w:r>
        <w:rPr/>
        <w:t xml:space="preserve">Salgótarján</w:t>
      </w:r>
    </w:p>
    <w:p>
      <w:pPr/>
      <w:r>
        <w:rPr/>
        <w:t xml:space="preserve">16,6</w:t>
      </w:r>
    </w:p>
    <w:p>
      <w:pPr/>
      <w:r>
        <w:rPr/>
        <w:t xml:space="preserve">1,7</w:t>
      </w:r>
    </w:p>
    <w:p>
      <w:pPr/>
      <w:r>
        <w:rPr/>
        <w:t xml:space="preserve">71,0</w:t>
      </w:r>
    </w:p>
    <w:p>
      <w:pPr/>
      <w:r>
        <w:rPr/>
        <w:t xml:space="preserve">111,6</w:t>
      </w:r>
    </w:p>
    <w:p>
      <w:pPr/>
      <w:r>
        <w:rPr/>
        <w:t xml:space="preserve">Szeged</w:t>
      </w:r>
    </w:p>
    <w:p>
      <w:pPr/>
      <w:r>
        <w:rPr/>
        <w:t xml:space="preserve">45,0</w:t>
      </w:r>
    </w:p>
    <w:p>
      <w:pPr/>
      <w:r>
        <w:rPr/>
        <w:t xml:space="preserve">4,5</w:t>
      </w:r>
    </w:p>
    <w:p>
      <w:pPr/>
      <w:r>
        <w:rPr/>
        <w:t xml:space="preserve">192,0</w:t>
      </w:r>
    </w:p>
    <w:p>
      <w:pPr/>
      <w:r>
        <w:rPr/>
        <w:t xml:space="preserve">174,8</w:t>
      </w:r>
    </w:p>
    <w:p>
      <w:pPr/>
      <w:r>
        <w:rPr/>
        <w:t xml:space="preserve">Székesfehérvár</w:t>
      </w:r>
    </w:p>
    <w:p>
      <w:pPr/>
      <w:r>
        <w:rPr/>
        <w:t xml:space="preserve">46,2</w:t>
      </w:r>
    </w:p>
    <w:p>
      <w:pPr/>
      <w:r>
        <w:rPr/>
        <w:t xml:space="preserve">4,6</w:t>
      </w:r>
    </w:p>
    <w:p>
      <w:pPr/>
      <w:r>
        <w:rPr/>
        <w:t xml:space="preserve">197,0</w:t>
      </w:r>
    </w:p>
    <w:p>
      <w:pPr/>
      <w:r>
        <w:rPr/>
        <w:t xml:space="preserve">159,9</w:t>
      </w:r>
    </w:p>
    <w:p>
      <w:pPr/>
      <w:r>
        <w:rPr/>
        <w:t xml:space="preserve">Szekszárd</w:t>
      </w:r>
    </w:p>
    <w:p>
      <w:pPr/>
      <w:r>
        <w:rPr/>
        <w:t xml:space="preserve">29,3</w:t>
      </w:r>
    </w:p>
    <w:p>
      <w:pPr/>
      <w:r>
        <w:rPr/>
        <w:t xml:space="preserve">2,9</w:t>
      </w:r>
    </w:p>
    <w:p>
      <w:pPr/>
      <w:r>
        <w:rPr/>
        <w:t xml:space="preserve">124,9</w:t>
      </w:r>
    </w:p>
    <w:p>
      <w:pPr/>
      <w:r>
        <w:rPr/>
        <w:t xml:space="preserve">135,6</w:t>
      </w:r>
    </w:p>
    <w:p>
      <w:pPr/>
      <w:r>
        <w:rPr/>
        <w:t xml:space="preserve">Szolnok</w:t>
      </w:r>
    </w:p>
    <w:p>
      <w:pPr/>
      <w:r>
        <w:rPr/>
        <w:t xml:space="preserve">26,3</w:t>
      </w:r>
    </w:p>
    <w:p>
      <w:pPr/>
      <w:r>
        <w:rPr/>
        <w:t xml:space="preserve">2,6</w:t>
      </w:r>
    </w:p>
    <w:p>
      <w:pPr/>
      <w:r>
        <w:rPr/>
        <w:t xml:space="preserve">112,2</w:t>
      </w:r>
    </w:p>
    <w:p>
      <w:pPr/>
      <w:r>
        <w:rPr/>
        <w:t xml:space="preserve">131,7</w:t>
      </w:r>
    </w:p>
    <w:p>
      <w:pPr/>
      <w:r>
        <w:rPr/>
        <w:t xml:space="preserve">Szombathely</w:t>
      </w:r>
    </w:p>
    <w:p>
      <w:pPr/>
      <w:r>
        <w:rPr/>
        <w:t xml:space="preserve">35,2</w:t>
      </w:r>
    </w:p>
    <w:p>
      <w:pPr/>
      <w:r>
        <w:rPr/>
        <w:t xml:space="preserve">3,5</w:t>
      </w:r>
    </w:p>
    <w:p>
      <w:pPr/>
      <w:r>
        <w:rPr/>
        <w:t xml:space="preserve">150,4</w:t>
      </w:r>
    </w:p>
    <w:p>
      <w:pPr/>
      <w:r>
        <w:rPr/>
        <w:t xml:space="preserve">150,7</w:t>
      </w:r>
    </w:p>
    <w:p>
      <w:pPr/>
      <w:r>
        <w:rPr/>
        <w:t xml:space="preserve">Tatabánya</w:t>
      </w:r>
    </w:p>
    <w:p>
      <w:pPr/>
      <w:r>
        <w:rPr/>
        <w:t xml:space="preserve">36,8</w:t>
      </w:r>
    </w:p>
    <w:p>
      <w:pPr/>
      <w:r>
        <w:rPr/>
        <w:t xml:space="preserve">3,7</w:t>
      </w:r>
    </w:p>
    <w:p>
      <w:pPr/>
      <w:r>
        <w:rPr/>
        <w:t xml:space="preserve">157,2</w:t>
      </w:r>
    </w:p>
    <w:p>
      <w:pPr/>
      <w:r>
        <w:rPr/>
        <w:t xml:space="preserve">180,0</w:t>
      </w:r>
    </w:p>
    <w:p>
      <w:pPr/>
      <w:r>
        <w:rPr/>
        <w:t xml:space="preserve">Veszprém</w:t>
      </w:r>
    </w:p>
    <w:p>
      <w:pPr/>
      <w:r>
        <w:rPr/>
        <w:t xml:space="preserve">44,1</w:t>
      </w:r>
    </w:p>
    <w:p>
      <w:pPr/>
      <w:r>
        <w:rPr/>
        <w:t xml:space="preserve">4,4</w:t>
      </w:r>
    </w:p>
    <w:p>
      <w:pPr/>
      <w:r>
        <w:rPr/>
        <w:t xml:space="preserve">188,4</w:t>
      </w:r>
    </w:p>
    <w:p>
      <w:pPr/>
      <w:r>
        <w:rPr/>
        <w:t xml:space="preserve">169,0</w:t>
      </w:r>
    </w:p>
    <w:p>
      <w:pPr/>
      <w:r>
        <w:rPr/>
        <w:t xml:space="preserve">Zalaegerszeg</w:t>
      </w:r>
    </w:p>
    <w:p>
      <w:pPr/>
      <w:r>
        <w:rPr/>
        <w:t xml:space="preserve">32,5</w:t>
      </w:r>
    </w:p>
    <w:p>
      <w:pPr/>
      <w:r>
        <w:rPr/>
        <w:t xml:space="preserve">3,3</w:t>
      </w:r>
    </w:p>
    <w:p>
      <w:pPr/>
      <w:r>
        <w:rPr/>
        <w:t xml:space="preserve">138,9</w:t>
      </w:r>
    </w:p>
    <w:p>
      <w:pPr/>
      <w:r>
        <w:rPr/>
        <w:t xml:space="preserve">140,2</w:t>
      </w:r>
    </w:p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https://hellosajto.hu/?p=24419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2025-07-24T19:40:08+00:00</dcterms:created>
  <dcterms:modified xsi:type="dcterms:W3CDTF">2025-07-24T19:40:08+00:00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