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Megállt a panelek drágulása</w:t>
      </w:r>
      <w:bookmarkEnd w:id="0"/>
    </w:p>
    <w:p>
      <w:pPr/>
      <w:r>
        <w:rPr/>
        <w:t xml:space="preserve">Júliusra a kereslet csökkenésével párhuzamosan befékezett a használt panellakások drágulása, Kelet-Magyarországon pedig még csökkenésnek is indult az átlagáruk. A Duna House szakértője szerint a 3%-os hitel újabb lökést adhat ennek a szegmensnek, különös tekintettel az új finanszírozási konstrukció lakásokat érintő feltételei között szereplő 100 millió Ft-os értékhatárra és a maximum 1,5 millió Ft-os négyzetméterárra.</w:t>
      </w:r>
    </w:p>
    <w:p>
      <w:pPr/>
      <w:r>
        <w:rPr/>
        <w:t xml:space="preserve">A Duna House aktuális adatai szerint most országos szinten 665 ezer Ft körülire tehető a használt panellakások átlagos négyzetméterára, a vevők pedig átlagosan 35 millió Ft-ért vásároltak ebben a szegmensben. A szokásos ingatlanpiaci trendeknek megfelelően a fővárosban csaknem kétszeres különbség látható: a budai használt panellakások átlagos négyzetméterára 1 millió 123 ezer forint, a pestieké pedig 1 millió 69 ezer forint, míg az átlagos vételár Budán 64, Pesten pedig 52 millió Ft-nál állt meg.</w:t>
      </w:r>
    </w:p>
    <w:p>
      <w:pPr/>
      <w:r>
        <w:rPr/>
        <w:t xml:space="preserve">És valóban megállt: a legfrissebb Duna House Barométer ingatlanpiaci kiadványban feltüntetett országos panelárindex görbéje 2025 második negyedévének végére stabil emelkedést követően „kiegyenesedett”, vagyis az árak stagnálnak. Kelet-Magyarországon pedig csökkenésnek indultak.</w:t>
      </w:r>
    </w:p>
    <w:p>
      <w:pPr/>
      <w:r>
        <w:rPr/>
        <w:t xml:space="preserve">„A kínálati árak tetőzése törvényszerűen hozta magával a kereslet csökkenését. Az árindexünkben látható "fékezés" erre reagált, ezt a jelenséget korrigálta. A panellakások szegmensére a sokak által várt 3%-os hitel azonban komoly hatást gyakorolhat, hiszen várhatóan több tízezer fiatal fog megjelenni az ingatlanpiacon és az ilyen típusú lakások jelentős része értékhatár és négyzetméterár szempontjából is megfelel a kritériumoknak. Már most is egy rendkívül élénk területről beszélünk, mivel 2024 második negyedévéhez képest idén júliusra Budán 62, Pesten 54, Kelet-Magyarországon 20, Nyugat-Magyarországon pedig 17%-kal csökkent a panellakások átlagos értékesítési ideje” – mondta Szegő Péter, a Duna House vezető elemzője.</w:t>
      </w:r>
    </w:p>
    <w:p>
      <w:pPr/>
      <w:r>
        <w:rPr/>
        <w:t xml:space="preserve">Ezen túl, a Duna House adatai szerint, panellakás-adásvételeknél országos szinten 3-4%-os alkuk voltak a leggyakoribbak. A prognosztizált keresletnövekedés miatt viszont ennél is forróbb alkuszituációkra lehet számítani, különösen az eddig indokolatlanul túlázott, „jó” vagy „lakható” állapotú panellakások esetében.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https://hellosajto.hu/?p=24279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2C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2025-07-16T17:51:07+00:00</dcterms:created>
  <dcterms:modified xsi:type="dcterms:W3CDTF">2025-07-16T17:51:07+00:00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