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MBH Bank állásfoglalás a Kúria a 2025. július 14-én közzétett jogegységi döntésében</w:t>
      </w:r>
      <w:bookmarkEnd w:id="0"/>
    </w:p>
    <w:p>
      <w:pPr/>
      <w:r>
        <w:rPr/>
        <w:t xml:space="preserve">A Kúria a 2025. július 14-én közzétett jogegységi döntésében megerősítette, hogy az Európai Unió Bíróságának 2025. április 30-i ítélete nem terjed ki általános jelleggel a devizaalapú kölcsönszerződésekre. A döntés kizárólag csak azon eseteket érinti, ahol a fogyasztói devizahitelt nyújtó pénzügyi intézmény árfolyamkockázatról szóló ügyféltájékoztatása egyáltalán nem történt meg vagy az nem volt megfelelő, és emiatt a bíróság megállapíthatja a devizaalapú kölcsönszerződés érvénytelenségét. Hangsúlyozzuk, hogy a Kúria döntése alapján jogvita esetén minden ügyet a bíróságnak egyedileg kell vizsgálnia az érvénytelenség szempontjából és a bíróság jogosult egy devizaalapú kölcsönszerződés érvénytelenségének megállapítására.</w:t>
      </w:r>
    </w:p>
    <w:p>
      <w:pPr/>
      <w:r>
        <w:rPr/>
        <w:t xml:space="preserve">Bankunk elkötelezett a tisztességes és átlátható szerződéskötési gyakorlat, a fogyasztókat védő jogi kötelezettségek betartása mellett, minden esetben tiszteletben tartja a magyar bíróságok jogerős döntését. Az MBH Bank 2023 májusában jött létre három bank egyesülésével, a jogelőd bankok gyakorlatát korábban több bírósági döntés is alátámasztotta. Az árfolyamkockázati tájékoztatókkal kapcsolatos peres ügyekben ezek egyedi vizsgálatára mindig sor kerül, az ilyen típusú peres ügyeket a bank rendszerint megnyeri.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D3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2025-07-16T17:46:24+00:00</dcterms:created>
  <dcterms:modified xsi:type="dcterms:W3CDTF">2025-07-16T17:46:24+00:00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