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Kisebb visszaesés a lakáshitelezésben</w:t>
      </w:r>
      <w:bookmarkEnd w:id="0"/>
    </w:p>
    <w:p>
      <w:pPr/>
      <w:r>
        <w:rPr/>
        <w:t xml:space="preserve">A Magyar Nemzeti Bank (MNB) legfrissebb adatai szerint Magyarországon magas tartományban ragadt a lakáshitelezés, a felhasználási célokat vizsgálva szokás szerint a használt lakás vásárlására felvett hiteltípus dominál a piacon. Az adatokat a Credipass magyarországi vezetője elemezte.</w:t>
      </w:r>
    </w:p>
    <w:p>
      <w:pPr/>
      <w:r>
        <w:rPr/>
        <w:t xml:space="preserve">Az MNB adatai szerint 2024 áprilisában a háztartásoknak nyújtott lakáscélú hitelek volumene 134,78 milliárd forintra esett vissza, ami kis csökkenést jelent az előző hónap 137,08 milliárd forintjához képest.</w:t>
      </w:r>
    </w:p>
    <w:p>
      <w:pPr/>
      <w:r>
        <w:rPr/>
        <w:t xml:space="preserve">Éves viszonylatban, tavaly áprilishoz mérten azonban ez is több mint 10-%-os növekedést mutat.</w:t>
      </w:r>
    </w:p>
    <w:p>
      <w:pPr/>
      <w:r>
        <w:rPr/>
        <w:t xml:space="preserve">„Áprilisban jól láthatóan megtorpant az ingatlanpiac lendületes évkezdése, ami a lakáshitelezésre is hatással volt. A lassulás hátterében a szokottnál is erősebben érvényesülő tavaszi iskolai szünet, a négynapos hétvégék hatása, valamint a megugró ingatlanárak álltak, amelyek érezhetően visszafogták a keresletet is. Ettől függetlenül, a felhasználási célokat vizsgálva, szokás szerint a használt lakás vásárlására felvett hiteltípus dominál, több mint 111 milliárd forintos volumennel, míg az építésre, bővítésre fordított hitelek aránya továbbra is a legcsekélyebb a mixben” – emelte ki Fülöp Krisztián, a Credipass magyarországi vezetője.</w:t>
      </w:r>
    </w:p>
    <w:p>
      <w:pPr/>
      <w:r>
        <w:rPr/>
        <w:t xml:space="preserve">Az átlagos kamatlábakat illetően a legalacsonyabb, 6,17%-os az új lakás vásárlására fordított, 1 éven túli kamatfixálású hiteltípusnál látható.</w:t>
      </w:r>
    </w:p>
    <w:p>
      <w:pPr/>
      <w:r>
        <w:rPr/>
        <w:t xml:space="preserve">2025 áprilisában a lakáscélú kamatfixálások átlagos hossza 140 hónap volt.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Szegő Péter, PR és elemzési szakértő</w:t>
      </w:r>
    </w:p>
    <w:p>
      <w:pPr>
        <w:numPr>
          <w:ilvl w:val="0"/>
          <w:numId w:val="1"/>
        </w:numPr>
      </w:pPr>
      <w:r>
        <w:rPr/>
        <w:t xml:space="preserve">Duna House</w:t>
      </w:r>
    </w:p>
    <w:p>
      <w:pPr>
        <w:numPr>
          <w:ilvl w:val="0"/>
          <w:numId w:val="1"/>
        </w:numPr>
      </w:pPr>
      <w:r>
        <w:rPr/>
        <w:t xml:space="preserve">szego.peter@dh.hu</w:t>
      </w:r>
    </w:p>
    <w:p>
      <w:pPr/>
      <w:r>
        <w:rPr/>
        <w:t xml:space="preserve">Eredeti tartalom: Duna House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https://hellosajto.hu/?p=22940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2025-06-04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Duna House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6515D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2025-06-03T18:11:36+00:00</dcterms:created>
  <dcterms:modified xsi:type="dcterms:W3CDTF">2025-06-03T18:11:36+00:00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