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Csökkenő forgalom mellett nőtt a BUX index</w:t>
      </w:r>
      <w:bookmarkEnd w:id="0"/>
    </w:p>
    <w:p>
      <w:pPr/>
      <w:r>
        <w:rPr/>
        <w:t xml:space="preserve">Májusban folyamatos emelkedéssel újabb rekordot döntött a BUX index, amely 3,8 százalékos emelkedéssel 95 698,3 ponton zárta a hónapot. A Budapesti Értéktőzsde azonnali részvénypiaci forgalma konszolidált teljesítmény mellett összesen 385,4 milliárd forintot tett ki, ami napi átlagban 14,3 milliárd forintnak felel meg. A befektetői aktivitás ezúttal is az OTP Bank, a Richter Gedeon és a MOL papírjai köré koncentrálódott, amelyek 229,3, 47,8 és 45 milliárd forintos forgalmat bonyolítottak. A brókercégek közül a Concorde, a WOOD &amp; Company és az ERSTE emelkedett ki a mezőnyből.</w:t>
      </w:r>
    </w:p>
    <w:p>
      <w:pPr/>
      <w:r>
        <w:rPr/>
        <w:t xml:space="preserve">Májusban ingadozó teljesítmény volt megfigyelhető a nemzetközi tőkepiacokon, a befektetői hangulatra az amerikai gazdasági adatok és a globális kereskedelmi kilátások alakulása is hatást gyakorolt. Európában óvatos optimizmus, míg Ázsiában visszafogottabb piaci mozgás jellemezte a hónapot.</w:t>
      </w:r>
    </w:p>
    <w:p>
      <w:pPr/>
      <w:r>
        <w:rPr/>
        <w:t xml:space="preserve">A nemzetközi – különösen az európai – piacokon érzékelhető bizonytalanságok a hazai tőzsdei hangulatot is befolyásolták, ennek ellenére a BUX index áprilishoz képest több mint 3,8 százalékos erősödéssel 95 698,3 ponton fejezte be a hónapot, folytatva ezzel az év eleje óta tartó felülteljesítő szériát. A hónap során a legmagasabb értéket május 16-án érte el, amikor a mutató 97 065,8 pontig emelkedett.</w:t>
      </w:r>
    </w:p>
    <w:p>
      <w:pPr/>
      <w:r>
        <w:rPr/>
        <w:t xml:space="preserve">A BÉT egyéb indexei közül a kelet-közép-európai CETOP NTR index 1 997,96 ponton, míg a középvállalatokat tömörítő XTEND index 1 340,45 ponton zárt. </w:t>
      </w:r>
    </w:p>
    <w:p>
      <w:pPr/>
      <w:r>
        <w:rPr/>
        <w:t xml:space="preserve">A forgalmi rangsort továbbra is magabiztosan vezette az OTP Bank részvénye, amelyre 229,3 milliárd forint értékben érkeztek kötések. A Richter Gedeon és a MOL szintén stabilan őrizték helyüket a dobogón, 47,8, illetve 45 milliárd forintos havi forgalommal. A kisebb és közepes kapitalizációjú vállalatok köréből az ANY papírja emelkedett ki, 24,6 százalékos árfolyam-növekedéssel zárva a periódust.</w:t>
      </w:r>
    </w:p>
    <w:p>
      <w:pPr/>
      <w:r>
        <w:rPr/>
        <w:t xml:space="preserve">Az azonnali részvénypiac az előző hónaphoz képest 13 százalékkal visszafogottabb aktivitást mutatott. A forgalom összesen 385,4 milliárd forintot tett ki májusban, vagyis napi átlagban 14,3 milliárd forintban valósult meg tőzsdei kereskedés.</w:t>
      </w:r>
    </w:p>
    <w:p>
      <w:pPr/>
      <w:r>
        <w:rPr/>
        <w:t xml:space="preserve">A hónap kiemelkedő eseménye volt a BÉT50 Klub hagyományos találkozója, amely ezúttal is releváns szakmai diskurzust és kapcsolatépítési lehetőséget biztosított a meghívottak számára. A kizárólag a BÉT50 közösség tagjai számára elérhető, exkluzív rendezvény célja változatlan: előmozdítani a középvállalatok és tőkepiaci szereplők közötti tudásmegosztást, és ösztönözni a hosszú távú stratégiai gondolkodást. Az idei program fókuszában az innováció és a nemzetközi piacra lépés állt.</w:t>
      </w:r>
    </w:p>
    <w:p>
      <w:pPr/>
      <w:r>
        <w:rPr/>
        <w:t xml:space="preserve">A befektetési szolgáltatók mezőnyében ezúttal a Concorde végzett az élen, 220,5 milliárd forintos havi forgalmat generálva. A második és harmadik helyen a WOOD &amp; Company és az ERSTE zárt, 191,5 és 154,5 milliárd forinttal.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1587301587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6.5079365079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https://hellosajto.hu/?p=22891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81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2025-06-02T18:10:57+00:00</dcterms:created>
  <dcterms:modified xsi:type="dcterms:W3CDTF">2025-06-02T18:10:57+00:00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