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érezhető az önazonossági törvényjavaslat hatása</w:t>
      </w:r>
      <w:bookmarkEnd w:id="0"/>
    </w:p>
    <w:p>
      <w:pPr/>
      <w:r>
        <w:rPr/>
        <w:t xml:space="preserve">A tervek szerint július 1-jén életbe lépő törvényjavaslat már most változásokat indított el a hazai ingatlanpiacon. A szabályozás különösen az agglomerációs településeken, valamint a kiemelt nyaralóövezetekben, a Balaton és a Velencei-tó környékén okozott árakban és keresletben is fordulatot. A Duna House ezért a helyi viszonyokat jól ismerő ingatlanszakértőket is megkérdezte.</w:t>
      </w:r>
    </w:p>
    <w:p>
      <w:pPr/>
      <w:r>
        <w:rPr/>
        <w:t xml:space="preserve">Bánáti András, a Duna House siófoki franchise partnere jól ismeri a hazai nyaralóövezetek ingatlanpiacát. A szakértő úgy véli, a tervezett szabályozás egyértelműen árcsökkentő hatású lehet: </w:t>
      </w:r>
    </w:p>
    <w:p>
      <w:pPr/>
      <w:r>
        <w:rPr/>
        <w:t xml:space="preserve">„A vevők visszariadhatnak a vásárlástól a szabályozással járó további bizonytalan költségek és korlátozások miatt. Ez megnehezíti az eladók számára az értékesítést, és így potenciálisan alacsonyabb árakat is eredményezhet” – fogalmazott.</w:t>
      </w:r>
    </w:p>
    <w:p>
      <w:pPr/>
      <w:r>
        <w:rPr/>
        <w:t xml:space="preserve">Különösen azok a települések lehetnek érintettek, ahol már most is túlterhelt az infrastruktúra, vagy még látnak lehetőséget az önkormányzati bevételek növelésére. A Velencei-tó térségében egyértelműen ilyen Velence és Gárdony, de olyan településeket is találunk, ahol például több utcában még mindig nincs kiépített vízhálózat, és már eddig is korlátozták az új építési engedélyek kiadását.</w:t>
      </w:r>
    </w:p>
    <w:p>
      <w:pPr/>
      <w:r>
        <w:rPr/>
        <w:t xml:space="preserve">Árpási László, a Duna House soproni irodájának vezetője más aspektusból közelíti meg a témát. Szerinte a legnagyobb gondot a jogbizonytalanság okozhatja: </w:t>
      </w:r>
    </w:p>
    <w:p>
      <w:pPr/>
      <w:r>
        <w:rPr/>
        <w:t xml:space="preserve">„A bankok tulajdonképpen már most beárazzák a bizonytalanságot: több településen szigorúbb feltételekkel adnak csak hitelt, vagy el is utasítják a hitelezést. Ez visszavetheti a forgalmat, különösen a kisebb településeken” – mondta.</w:t>
      </w:r>
    </w:p>
    <w:p>
      <w:pPr/>
      <w:r>
        <w:rPr/>
        <w:t xml:space="preserve">A tervezet szerint az önkormányzatok rendeletben határozhatják meg a kívánatos lakosságszámot, és különféle korlátozó eszközöket is bevezethetnek, így például a lakcím létesítésének feltételhez kötését, az elővásárlási jogot vagy akár a betelepülési adót. A szabályozás elsőként azokat a térségeket érintheti, ahol a népesség az utóbbi években dinamikusan nőtt, vagy a helyi infrastruktúra már most is feszített. Ilyen például Dunakeszi, Szigetszentmiklós, Tihany és Fertőd.</w:t>
      </w:r>
    </w:p>
    <w:p>
      <w:pPr/>
      <w:r>
        <w:rPr/>
        <w:t xml:space="preserve">Az ingatlanpiac résztvevőinek, különösen a befektetőknek és fejlesztőknek július 1-jét követően érdemes lesz még szorosabb figyelemmel kísérniük az ingatlan- és hitelpiaccal kapcsolatos hiteles adatközléseket (amilyen például a Duna House Tranzakciószám Becslése és a Barométer című rendszeres kiadványa is), emellett pedig természetesen az egyes önkormányzatok lépéseit is, mivel a szabályozások településenként jelentősen eltérőek lehetnek.</w:t>
      </w:r>
    </w:p>
    <w:p>
      <w:pPr/>
      <w:r>
        <w:rPr/>
        <w:t xml:space="preserve">Máté Ferenc, a Duna House vezérigazgató-helyettese szerint a piac stabilitásának megőrzéséhez ekkora horderejű szabályozás előtt elengedhetetlen lenne a széles körű szakmai egyeztetés a hitel- és ingatlanpiaci szereplőkkel. Mint mondta: </w:t>
      </w:r>
    </w:p>
    <w:p>
      <w:pPr/>
      <w:r>
        <w:rPr/>
        <w:t xml:space="preserve">„Az ingatlanpiac rendkívül érzékenyen reagál a bizonytalanságokra, és ez senkinek sem érdeke. Különösen akkor, ha a magyar családok legnagyobb vagyontárgyáról van szó.”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E0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2025-05-29T16:22:01+00:00</dcterms:created>
  <dcterms:modified xsi:type="dcterms:W3CDTF">2025-05-29T16:22:01+00:00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