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Eladási hullám indul a befektetői lakások piacán?</w:t>
      </w:r>
      <w:bookmarkEnd w:id="0"/>
    </w:p>
    <w:p>
      <w:pPr/>
      <w:r>
        <w:rPr/>
        <w:t xml:space="preserve">Az elmúlt években az ingatlanpiac egyik biztos pontját a kiadási céllal vásárolt lakások jelentették. Befektetők ezrei vásároltak garzonokat, új építésű vagy korszerűsített panellakásokat stabil bérleti hozamok reményében. 2024 első negyedévéhez viszonyítva, 2025 első negyedévében mintegy 10%-kal több olyan ingatlant adtak el, amelyet befektetésnek, bérbeadásra szántak.</w:t>
      </w:r>
    </w:p>
    <w:p>
      <w:pPr/>
      <w:r>
        <w:rPr/>
        <w:t xml:space="preserve">Míg korábban egy 80-100 millió forintért vásárolt lakást könnyedén ki lehetett adni átlagosan havi 250-300 ezer forintért, addig mára az ingatlanárak emelkedése nincs összhangban a bérleti díjak növekedésével. Egy 120-130 millió forintos lakás esetén ugyanaz a havi bérleti díj már alig 2,5-3%-os bruttó hozamot jelent – ebből pedig még lejönnek a karbantartási költségek, a közvetítői díjak, az adóterhek és az esetleges üresjárati időszakok is.</w:t>
      </w:r>
    </w:p>
    <w:p>
      <w:pPr/>
      <w:r>
        <w:rPr/>
        <w:t xml:space="preserve">„A bérbeadók egyre gyakrabban szembesülnek azzal is, hogy az energetikailag elavultabb, kevésbé komfortos vagy esztétikus lakások sokkal nehezebben adhatók ki, vagy gyakran kompromisszumokra kényszerülnek a bérleti díjakban” – hívta fel a figyelmet Szegő Péter, a Duna House PR és elemzési szakértője, aki szerint a bérlői elvárások sokat változtak az elmúlt időszakban, így a tiszta, jól felszerelt lakások mellett ma már a rezsihatékonyság és például a klíma is alapelvárás, különösen a városi fiatalok körében.</w:t>
      </w:r>
    </w:p>
    <w:p>
      <w:pPr/>
      <w:r>
        <w:rPr/>
        <w:t xml:space="preserve">Alternatív befektetések versenye</w:t>
      </w:r>
    </w:p>
    <w:p>
      <w:pPr/>
      <w:r>
        <w:rPr/>
        <w:t xml:space="preserve">A befektetési döntésekben a kamatkörnyezet változása is szerepet játszhat. Korábban az 1-2%-os banki kamatok mellett az ingatlan-bérbeadás reális alternatíva volt, ma már állampapírokban vagy lekötött betétekben is elérhető a 6-9%-os hozam. A hozamkülönbségek miatt pedig az ingatlanból származó passzív jövedelem már kevésbé lehet vonzó, mint korábban. Főként, ha azt kiadással, adminisztrációval, fenntartással és karbantartással együtt kell megtermelni.</w:t>
      </w:r>
    </w:p>
    <w:p>
      <w:pPr/>
      <w:r>
        <w:rPr/>
        <w:t xml:space="preserve">További érdekes jelenség, hogy egyre több olyan lakás kerül piacra, amelyeket még egy-egy építtető cég tartott meg portfóliójában kiadási céllal. Az ilyen, jellemzően 5-10 éve épült lakások gyakran most jelennek meg először eladóként a hirdetési oldalakon. Tipikusan akkor, amikor az üzemeltetési vagy fenntartási költségek már nem állnak arányban az elérhető bérleti díjakkal.</w:t>
      </w:r>
    </w:p>
    <w:p>
      <w:pPr/>
      <w:r>
        <w:rPr/>
        <w:t xml:space="preserve">Szigorítások, szűkülő kereslet</w:t>
      </w:r>
    </w:p>
    <w:p>
      <w:pPr/>
      <w:r>
        <w:rPr/>
        <w:t xml:space="preserve">Ezen túl a rövid távú lakáskiadás szabályozása is sok befektetőt késztetett stratégiaváltásra. Az Airbnb-t korlátozó önkormányzati intézkedések is csökkentették a belvárosi lakások kihasználtságát, ráadásul a megélhetési költségek emelkedése miatt a fiatal bérlők közül is egyre többen kénytelenek választani a közös albérletet, az agglomerációt, vagy akár a családhoz való visszaköltözést.</w:t>
      </w:r>
    </w:p>
    <w:p>
      <w:pPr/>
      <w:r>
        <w:rPr/>
        <w:t xml:space="preserve">„Bár még korántsem beszélhetünk országos szintű, tömeges jelenségről, de egy szűkebb befektetői kör már elkezdte értékesíteni azokat az ingatlanokat, amelyeket korábban a bérleti piacra szánt. Ez a tendencia hosszabb távon hatással lehet a kínálatra és az árakra is, különösen a közepes állapotú, korszerűsítésre szoruló lakások szegmensében” – tette hozzá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BD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2025-05-28T17:46:08+00:00</dcterms:created>
  <dcterms:modified xsi:type="dcterms:W3CDTF">2025-05-28T17:46:08+00:00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