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fenntartható gazdasági növekedéshez stabil pénzügyi rendszer kell</w:t>
      </w:r>
      <w:bookmarkEnd w:id="0"/>
    </w:p>
    <w:p>
      <w:pPr/>
      <w:r>
        <w:rPr/>
        <w:t xml:space="preserve">A magyar gazdaság évtizedes teljesítményében a német cégeknek is kiemelt szerepe van, ezért kulcsfontosságú, hogy a vámháború okozta változékony piaci helyzetben a német gazdaság ismét erőre kapjon – jelentette ki Varga Mihály a Német-Magyar Ipari és Kereskedelmi Kamara éves Közgyűlésén. A jegybankelnök hangsúlyozta: hazánkban a kiszámítható beruházási környezet megteremtéséhez és a konjunktúra beindulásához az árstabilitás fenntartására van szükség. A Magyar Nemzeti Bank új vezetése elkötelezett a tartósan alacsony infláció és a stabil pénzügyi rendszer biztosítása mellett.  </w:t>
      </w:r>
    </w:p>
    <w:p>
      <w:pPr/>
      <w:r>
        <w:rPr/>
        <w:t xml:space="preserve">Varga Mihály felhívta a figyelmet: a világban tapasztalható bizonytalan geopolitikai és kereskedelmi helyzet tükrében a Magyar Nemzeti Bank új vezetésének legfontosabb alapelvei a stabilitás, a függetlenség és az átláthatóság. Az árstabilitás elérése és fenntartása céljából a jegybank fegyelmezett és következetes, inflációellenes monetáris politikát folytat. Ezzel támogatja a magyar gazdaság fenntartható fejlődését, illetve erősíti a hitelességet és a bizalmat. A jegybankelnök emlékeztetett: az utóbbi években a világgazdaságnak három nagy kihívással is szembe kellett néznie. A COVID-világjárvány megmutatta a globális méretű gazdasági értékláncok töredezettségét, míg az ukrán-orosz háború, a szankciók és az energiaválság következtében Európa leszakadt a világgazdasági versenyben. Az amerikai vámháború pedig szintén hatással van a magyar gazdaságra: a jelentős bizonytalanság csökkenti a befektetési bizalmat, és rontja a nemzetközi piaci hangulatot. Ezeken felül hazánk a német gazdasági köteléken keresztül is érintett a vámháborúban, leginkább az autóiparon keresztül – mutatott rá Varga Mihály. Mint mondta: 2024-ben a teljes hazai export 24,1 százaléka irányult Németországba, míg a közvetlentőke-befektetések terén 2023-ban 20 milliárd eurós beáramlás érkezett hazánkba német területekről. A jegybankelnök hozzátette: a német cégek számottevő jelenléte a magyar gazdaságban olyan hozzáadott értéket képvisel, amelynek a gazdasági növekedés tekintetében is jelentősége van. Éppen ezért a magyar gazdaság elemi érdeke, hogy Németország ismét a gazdasági növekedés útjára lépjen – fogalmazott Varga Mihály.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28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2025-05-22T18:12:49+00:00</dcterms:created>
  <dcterms:modified xsi:type="dcterms:W3CDTF">2025-05-22T18:12:49+00:00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