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Továbbra is a befektetők diktálnak  a budapesti ingatlanpiacon</w:t>
      </w:r>
      <w:bookmarkEnd w:id="0"/>
    </w:p>
    <w:p>
      <w:pPr/>
      <w:r>
        <w:rPr/>
        <w:t xml:space="preserve">A Duna House legfrissebb adatai szerint a 2025 áprilisában Budapesten zárult adásvételek csaknem felében befektetési célból vásároltak ingatlant – ez a tendencia új lendületet adhat a fővárosi piac szerkezetének és árazásának is.</w:t>
      </w:r>
    </w:p>
    <w:p>
      <w:pPr/>
      <w:r>
        <w:rPr/>
        <w:t xml:space="preserve">A Duna House adatai alapján 2025 áprilisában a fővárosi lakásvásárlók 43%-a befektetési céllal szerzett ingatlant. Ez az arány január óta folyamatosan emelkedett, márciusban állt rekordmagas szinten 45%-kal. </w:t>
      </w:r>
    </w:p>
    <w:p>
      <w:pPr/>
      <w:r>
        <w:rPr/>
        <w:t xml:space="preserve">Eközben az adásvételek száma országos és budapesti szinten is csökkent, így az adatok azt jelzik, hogy a budapesti piac még a keresletcsökkenés mellett is vonzó terep maradt a tőkebefektetők számára.</w:t>
      </w:r>
    </w:p>
    <w:p>
      <w:pPr/>
      <w:r>
        <w:rPr/>
        <w:t xml:space="preserve">Tőkeerős vevők dominanciája</w:t>
      </w:r>
    </w:p>
    <w:p>
      <w:pPr/>
      <w:r>
        <w:rPr/>
        <w:t xml:space="preserve">A befektetők által vásárolt ingatlanokra átlagosan 74,8 millió forintot költöttek, ami jelentősen meghaladja az első lakást vásárlók átlagos, 66,4 millió forintos költését. A fővárosi piacon ezzel párhuzamosan tovább nőttek az árak, különösen a belső kerületekben, ahol a téglalakások átlagos négyzetméterára elérte, sőt egyes részeken már meg is haladta az 1,3 millió forintot.</w:t>
      </w:r>
    </w:p>
    <w:p>
      <w:pPr/>
      <w:r>
        <w:rPr/>
        <w:t xml:space="preserve">„Míg tavaly áprilisban a pesti oldalon eladott ingatlanok többsége a 600-800 ezer Ft/m² árkategóriába esett, idén már az 1,2-1,4 millió Ft/m² közötti áron kínált lakások dominálják a piacot” – mutatott rá Szegő Péter, a Duna House PR és elemzési szakértője arra, hogy a befektetési célú vásárlások túlsúlya miként alakítja át a kínálat összetételét is.</w:t>
      </w:r>
    </w:p>
    <w:p>
      <w:pPr/>
      <w:r>
        <w:rPr/>
        <w:t xml:space="preserve">Pénzügyileg tudatosabb eladók</w:t>
      </w:r>
    </w:p>
    <w:p>
      <w:pPr/>
      <w:r>
        <w:rPr/>
        <w:t xml:space="preserve">Az eladók motivációs háttere is jól tükrözi a piaci átalakulást: Budapesten az ingatlanukat értékesítők 40%-a korábbi befektetésétől vált meg. Ez az arány, kiegészülve azzal, hogy csökkent a 60 év felettiek jelenléte az eladói oldalon, a fiatalabb, pénzügyileg tudatosabb befektetői kör aktívabb piaci jelenlétére utal.</w:t>
      </w:r>
    </w:p>
    <w:p>
      <w:pPr/>
      <w:r>
        <w:rPr/>
        <w:t xml:space="preserve">Jövőbeli kilátások</w:t>
      </w:r>
    </w:p>
    <w:p>
      <w:pPr/>
      <w:r>
        <w:rPr/>
        <w:t xml:space="preserve">A befektetési célú tranzakciók nagy aránya erősítheti a prémiumszegmens pozícióját, ugyanakkor új kihívások elé állíthatja az első lakásvásárlókat, akik számára a belépési küszöb tovább emelkedhet. </w:t>
      </w:r>
    </w:p>
    <w:p>
      <w:pPr/>
      <w:r>
        <w:rPr/>
        <w:t xml:space="preserve">A trend rámutat arra is, hogy a lakáspiac nem csupán lakhatási funkciót tölt be, hanem továbbra is fontos eszköze a vagyonmegőrzésnek és hozamtermelésnek – különösen a magas inflációval és volatilisebb pénzpiacokkal terhelt gazdasági környezetben.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https://hellosajto.hu/?p=22150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943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2025-05-13T16:53:40+00:00</dcterms:created>
  <dcterms:modified xsi:type="dcterms:W3CDTF">2025-05-13T16:53:40+00:00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