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Felemás piacon is kiemelkedő eredménnyel zárt tavaly az MBH Csoporthoz tartozó Euroleasing</w:t>
      </w:r>
      <w:bookmarkEnd w:id="0"/>
    </w:p>
    <w:p>
      <w:pPr/>
      <w:r>
        <w:rPr/>
        <w:t xml:space="preserve">A bruttó hitelállomány 610 milliárd forintra nőtt az év során</w:t>
      </w:r>
    </w:p>
    <w:p>
      <w:pPr/>
      <w:r>
        <w:rPr/>
        <w:t xml:space="preserve">Az MBH Csoporthoz tartozó Euroleasing 25 százalékot meghaladó piaci részesedéssel tavaly is megőrizte piacvezető pozícióját a hazai lízingpiacon, tovább erősítve meghatározó szerepét a személy- és kishaszonjármű-, mezőgazdasági gép- és nagyhaszonjármű-finanszírozás területén. Az ágazati átalakulások ellenére a társaság több szegmensben is az átlag feletti teljesítményt ért el, köszönhetően kiterjedt partnerhálózatának és rugalmas finanszírozási megoldásainak. Továbbá 8%-os bruttó hitelállomány-növekedést, és több mint 5,6 milliárd forint adózott eredményt ért el a lízingcsoport. A vállalat célja, hogy tovább erősítse pozícióját, és innovatív megoldásokkal járuljon hozzá az ágazat fejlődéséhez.</w:t>
      </w:r>
    </w:p>
    <w:p>
      <w:pPr/>
      <w:r>
        <w:rPr/>
        <w:t xml:space="preserve">A Magyar Lízingszövetség 2024-es adatai szerint a hazai lízingpiac a kihelyezések tekintetében 6,6%-kal, a szerződések darabszámában pedig 16,5%-kal bővült, miközben az állományi darabszám 7%-kal csökkent. Az Euroleasing a dinamikusan változó piaci trendek ellenére is 25%-ot meghaladó piaci részt tudhat magáénak az újonnan kihelyezett lízingállomány alapján, ezzel megőrizve vezető szerepét.</w:t>
      </w:r>
    </w:p>
    <w:p>
      <w:pPr/>
      <w:r>
        <w:rPr/>
        <w:t xml:space="preserve">Erős teljesítmény a kulcsfontosságú finanszírozási szegmensekben</w:t>
      </w:r>
    </w:p>
    <w:p>
      <w:pPr/>
      <w:r>
        <w:rPr/>
        <w:t xml:space="preserve">A lízingcsoport 2024-es adózott eredménye 5,6 milliárd forint volt, a bruttó hitelállomány 8%-kal, 610 milliárd forintra nőtt az év során.</w:t>
      </w:r>
    </w:p>
    <w:p>
      <w:pPr/>
      <w:r>
        <w:rPr/>
        <w:t xml:space="preserve">A személy- és kishaszonjármű-, valamint motorkerékpár-finanszírozás szegmense a teljes lízing piac 56,8%-át tette ki 2024-ben, szemben az egy évvel korábbi 48%-kal. Az év első felében az alacsonyabb kamatok, valamint az importőri és kereskedői akciók lendítették fel a járműértékesítést, majd a harmadik negyedéves lassulást követően, az utolsó negyedévben, az emissziós szabályok változása játszott kulcsszerepet az eladásokban. Az Euroleasing stabilan tartotta a piacvezető szerepét a szegmensben.</w:t>
      </w:r>
    </w:p>
    <w:p>
      <w:pPr/>
      <w:r>
        <w:rPr/>
        <w:t xml:space="preserve">A mezőgazdasági gépek finanszírozásában az állami támogatások kifutása jelentős visszaesést okozott: az új eszközök esetében 33%-os, a használtaknál 15%-os csökkenés mutatkozott. Az Euroleasing ennek ellenére nemcsak megőrizte piacvezető szerepét a szegmensben, hanem részesedését is növelte, amit a kulcsfontosságú mezőgazdasági gépforgalmazói együttműködések, a limitszemléletű kiszolgálás és a hatékony bankcsoporton belüli keresztértékesítés tett lehetővé.</w:t>
      </w:r>
    </w:p>
    <w:p>
      <w:pPr/>
      <w:r>
        <w:rPr/>
        <w:t xml:space="preserve">Hasonlóképpen a nagyhaszonjármű-piac 6%-os visszaesést mutatott 2023-hoz képest. Az Euroleasing megőrizte piacvezető helyét ebben a szegmensben is.</w:t>
      </w:r>
    </w:p>
    <w:p>
      <w:pPr/>
      <w:r>
        <w:rPr/>
        <w:t xml:space="preserve">„Tavaly minden harmadik mezőgazdasági eszközlízingben benne voltunk és csaknem minden negyedik lízinggel finanszírozott haszongépjárműbeszerzésben is közreműködtünk. A 2024-es tapasztalatokra és eredményekre építve olyan rugalmas finanszírozási konstrukciókat alakítunk ki, amelyek hatékonyan segítik ügyfeleinket abban, hogy könyebben tudjanak alkalmazkodni a gazdasági kihívásokhoz” – közölte Vály Judit, az Euroleasing vezérigazgatója. Hozzátette, hogy „az Euroleasing stratégiájában kiemelt szerepet kap az ügyfélközpontú megoldások fejlesztése, a digitális finanszírozási lehetőségek bővítése, valamint a fenntartható és zöld finanszírozási termékek bevezetése.”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Varga Lilla Fruzsina</w:t>
      </w:r>
    </w:p>
    <w:p>
      <w:pPr>
        <w:numPr>
          <w:ilvl w:val="0"/>
          <w:numId w:val="1"/>
        </w:numPr>
      </w:pPr>
      <w:r>
        <w:rPr/>
        <w:t xml:space="preserve">Goodwill Communications</w:t>
      </w:r>
    </w:p>
    <w:p>
      <w:pPr>
        <w:numPr>
          <w:ilvl w:val="0"/>
          <w:numId w:val="1"/>
        </w:numPr>
      </w:pPr>
      <w:r>
        <w:rPr/>
        <w:t xml:space="preserve">varga@gwc.hu</w:t>
      </w:r>
    </w:p>
    <w:p>
      <w:pPr/>
      <w:r>
        <w:rPr/>
        <w:t xml:space="preserve">Eredeti tartalom: Euroleasing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https://hellosajto.hu/?p=21666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Euroleasing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8AF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2025-04-29T18:28:45+00:00</dcterms:created>
  <dcterms:modified xsi:type="dcterms:W3CDTF">2025-04-29T18:28:45+00:00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