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árstabilitás a tartós növekedés alapja</w:t>
      </w:r>
      <w:bookmarkEnd w:id="0"/>
    </w:p>
    <w:p>
      <w:pPr/>
      <w:r>
        <w:rPr/>
        <w:t xml:space="preserve">A jegybank új vezetése elkötelezett az árstabilitás elérése és fenntartása mellett, miközben javítja a jegybanki munka hatékonyságát és gyakorlati hasznosulását – jelentette ki Varga Mihály a Budapesti Kereskedelmi és Iparkamara Nagyvállalati Klubjának ülésén. A jegybankelnök leszögezte: a Magyar Nemzeti Bank a jövőben az alapvető törvényi feladatok ellátására koncentrál, továbbá a fenntartható gazdasági növekedés támogatása érdekében együttműködik a gazdasági és pénzügyi piaci szereplőkkel.</w:t>
      </w:r>
    </w:p>
    <w:p>
      <w:pPr/>
      <w:r>
        <w:rPr/>
        <w:t xml:space="preserve">Varga Mihály felhívta a figyelmet: az orosz-ukrán háború elhúzódása, a vámháború, a német gazdaság stagnálása befolyásolják a magyar gazdaság kilátásait, ismét növekszik a globális gazdasági és pénzpiaci bizonytalanság, újra megjelentek a recessziós és inflációs kockázatok. Mint mondta: a jegybank márciusi prognózisában az idei évre 4,5 és 5,1% közötti inflációval és 1,9-2,9%-os GDP-növekedéssel számolt, a globális vámháború azonban hatással lehet erre a pályára. Varga Mihály hangsúlyozta: a körülmények ellenére bizakodásra ad okot, hogy a magyar gazdaság erős alapokkal rendelkezik, amit a tartósan magas, 4,7 millió fő körüli foglalkoztatottság és a belső fogyasztás újbóli növekedése is alátámaszt. Kiemelte: a jegybank azokat a pénzügyi fundamentumokat biztosítja a gazdaságban, amelyekre minden további gazdasági tevékenység épül. Az MNB új vezetése az alapfeladatok központi szerepének megerősítésére koncentrál, növeli az átláthatóságot és a hatékonyságot, az egyéb tevékenységeket pedig racionalizálja. A jegybankelnök emlékeztetett: az elmúlt időszakban két olyan együttműködés is indult, amelyek növelik a jegybanki tevékenység hatásosságát. Egyrészt a Magyar Kereskedelmi és Iparkamarával kötött hatpontos megállapodás keretében a két intézmény a gazdasági folyamatok közös elemzésével is támogatja a magyar gazdaság fenntartható fejlesztését és az elméleti tudás gyakorlati hasznosulását. A bankszektorral kötött egyezménynek köszönhetően pedig egyszerűbbé, átláthatóbbá, olcsóbbá válnak a banki költségek. Az ötpontos megállapodás erősíti a banki ügyfelek tájékoztatását, csökkenti egyes lakossági pénzügyi szolgáltatások díját és ezen keresztül közvetetten inflációcsökkentő hatással is bír.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https://hellosajto.hu/?p=21467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87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2025-04-22T18:32:47+00:00</dcterms:created>
  <dcterms:modified xsi:type="dcterms:W3CDTF">2025-04-22T18:32:47+00:00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