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Újabb csúcson a BUX, stabil maradt a részvénypiac forgalma</w:t>
      </w:r>
      <w:bookmarkEnd w:id="0"/>
    </w:p>
    <w:p>
      <w:pPr/>
      <w:r>
        <w:rPr/>
        <w:t xml:space="preserve">Tartja történelmi magasságát a Budapesti Értéktőzsde vezető indexe, a BUX, amely 1,77 százalékos növekedést követően, 88 686,46 ponton zárta a márciusi hónapot. A részvénypiac összforgalma a februári szintet tartva, 418,7 milliárd forintot tett ki, amely napi bontásban 19,94 milliárd forintot jelent. A legnépszerűbb részvényeknek az OTP Bank, a Richter Gedeon és a MOL bizonyultak, sorrendben 271,4, 59,4 és 39,4 milliárd forint értékű forgalommal, emellett a BÉTa Piac kínálata jelentősen bővült a hónapban. A befektetési szolgáltatók között a WOOD &amp; Company zárt az élen, őt a Concorde, majd az ERSTE követte.</w:t>
      </w:r>
    </w:p>
    <w:p>
      <w:pPr/>
      <w:r>
        <w:rPr/>
        <w:t xml:space="preserve">Az amerikai tőzsdéket március 10-én jelentős esések jellemezték, különösen a kereskedelempolitikai döntések és a recessziós kockázatok következtében, ami korrekciós fázisba taszította az S&amp;P 500 indexet. Az európai és ázsiai tőzsdéken a kereskedelmi bizonytalanság és a vámokkal kapcsolatos eszkaláció okozott eséseket, amely leginkább az autóipari részvényeknél mutatkozott meg.</w:t>
      </w:r>
    </w:p>
    <w:p>
      <w:pPr/>
      <w:r>
        <w:rPr/>
        <w:t xml:space="preserve">Mindeközben a Budapesti Értéktőzsde első számú indexe, a BUX index alakulásában a hónap során több alkalommal is a történelmi csúcsdöntés volt megfigyelhető. Március elején még 89 000 pontos szint körül mozgott, végül 88 686,46 ponton zárt, ami 1,77%-os növekedést jelent februárhoz képest. A legmagasabb napi záróértéket, 92 720,24 pontot, a hónap 27. napján érte el az index. </w:t>
      </w:r>
    </w:p>
    <w:p>
      <w:pPr/>
      <w:r>
        <w:rPr/>
        <w:t xml:space="preserve">A BÉT egyéb indexei közül a kelet-közép-európai CETOP NTR index 1 872,10 ponton, míg a középvállalatokat tömörítő XTEND index 1 461,42 ponton zárt.</w:t>
      </w:r>
    </w:p>
    <w:p>
      <w:pPr/>
      <w:r>
        <w:rPr/>
        <w:t xml:space="preserve">A hónap során március 6-án újabb mérföldkőhöz érkezett a BÉTa Piac, amely 23 új ETF bevezetésével tovább szélesítette a hazai befektetők számára elérhető külföldi instrumentumok körét. A Budapesti Értéktőzsde (BÉT) célja, hogy folyamatosan bővítse a hazai befektetők számára elérhető termékkínálatot, elősegítve a diverzifikált és költséghatékony portfólióépítést.</w:t>
      </w:r>
    </w:p>
    <w:p>
      <w:pPr/>
      <w:r>
        <w:rPr/>
        <w:t xml:space="preserve">A kibocsátók között a tavasz első hónapjában is az OTP papírjai iránt volt a legnagyobb a kereslet, 271,4 milliárd forint értékben, amelyet a Richter Gedeon és a MOL követett 59,4 milliárd, továbbá 39,4 milliárd forintos forgalommal. A közepes kapitalizációval rendelkező vállalatok közül az ANY Biztonsági Nyomda és az RÁBA zárt különösen erős hónapot, előbbi árfolyama 26,9 százalékos, míg az utóbbi 16% százalékos növekedést ért el. </w:t>
      </w:r>
    </w:p>
    <w:p>
      <w:pPr/>
      <w:r>
        <w:rPr/>
        <w:t xml:space="preserve">Az azonnali részvénypiac összesen 418,7 milliárd forintos összforgalommal zárta a márciust, amely egy kereskedési napra lebontva 19,94 milliárd forintot jelent. </w:t>
      </w:r>
    </w:p>
    <w:p>
      <w:pPr/>
      <w:r>
        <w:rPr/>
        <w:t xml:space="preserve">A befektetési szolgáltatók versenyében ezúttal a Wood &amp; Company előzött, 249,8 milliárd forinttal, míg a Concorde 223,0 milliárd forintos forgalma a második helyre volt elegendő, míg az ERSTE 154,4 milliárd forint értékű forgalmat bonyolított, ezzel a dobogó harmadik fokára állhatott fel.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media@bse.hu</w:t>
      </w:r>
    </w:p>
    <w:tbl>
      <w:tblGrid>
        <w:gridCol/>
        <w:gridCol/>
      </w:tblGrid>
      <w:tblPr>
        <w:tblW w:w="0" w:type="auto"/>
        <w:tblLayout w:type="autofit"/>
        <w:tblCellMar>
          <w:top w:w="0" w:type="dxa"/>
          <w:left w:w="0" w:type="dxa"/>
          <w:right w:w="200" w:type="dxa"/>
          <w:bottom w:w="200" w:type="dxa"/>
        </w:tblCellMar>
      </w:tblP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1.72804532578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Budapesti Értéktőzsde
                <w:br/>
                <w:br/>
              </w:t>
            </w:r>
          </w:p>
        </w:tc>
      </w:t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35.873388042204pt; margin-left:0pt; margin-top:0pt; mso-position-horizontal:left; mso-position-vertical:top; mso-position-horizontal-relative:char; mso-position-vertical-relative:line;">
                  <w10:wrap type="inline"/>
                  <v:imagedata r:id="rId8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Budapesti Értéktőzsde
                <w:br/>
                <w:br/>
              </w:t>
            </w:r>
          </w:p>
        </w:tc>
      </w:t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24.68427095293pt; margin-left:0pt; margin-top:0pt; mso-position-horizontal:left; mso-position-vertical:top; mso-position-horizontal-relative:char; mso-position-vertical-relative:line;">
                  <w10:wrap type="inline"/>
                  <v:imagedata r:id="rId9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Budapesti Értéktőzsde
                <w:br/>
                <w:br/>
              </w:t>
            </w:r>
          </w:p>
        </w:tc>
      </w:t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13.45029239766pt; margin-left:0pt; margin-top:0pt; mso-position-horizontal:left; mso-position-vertical:top; mso-position-horizontal-relative:char; mso-position-vertical-relative:line;">
                  <w10:wrap type="inline"/>
                  <v:imagedata r:id="rId10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Budapesti Értéktőzsde
                <w:br/>
                <w:br/>
              </w:t>
            </w:r>
          </w:p>
        </w:tc>
      </w:tr>
    </w:tbl>
    <w:p>
      <w:pPr/>
      <w:r>
        <w:rPr/>
        <w:t xml:space="preserve">Eredeti tartalom: Budapesti Értéktőzsde Nyrt.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https://hellosajto.hu/20876/ujabb-csucson-a-bux-stabil-maradt-a-reszvenypiac-forgalma/
        </w:t>
      </w:r>
    </w:p>
    <w:sectPr>
      <w:headerReference w:type="default" r:id="rId11"/>
      <w:footerReference w:type="default" r:id="rId12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2025-04-01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Budapesti Értéktőzsde Nyrt.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DEFBB694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header" Target="header1.xml"/><Relationship Id="rId1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2025-04-01T15:04:17+00:00</dcterms:created>
  <dcterms:modified xsi:type="dcterms:W3CDTF">2025-04-01T15:04:17+00:00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