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Nemzetközi elismerésben részesült az MBH Bank privátbanki üzletága</w:t>
      </w:r>
      <w:bookmarkEnd w:id="0"/>
    </w:p>
    <w:p>
      <w:pPr/>
      <w:r>
        <w:rPr/>
        <w:t xml:space="preserve">Az Euromoney harmadik alkalommal díjazta az MBH Bank Private Banking teljesítményét</w:t>
      </w:r>
    </w:p>
    <w:p>
      <w:pPr/>
      <w:r>
        <w:rPr/>
        <w:t xml:space="preserve">Két kategóriában is első helyen végzett és díjat szerzett az MBH Bank privátbanki üzletága a nemzetközi Euromoney Private Banking Awards idei díjkiosztóján Londonban. A rangos elismeréseket a hitelintézet az „Év Magyarországi Privátbankja Utódlástervezésben”, valamint az „Év Magyarországi Privátbankja Diszkrecionális Portfóliókezelés” kategóriában nyerte el. A hitelintézet privátbanki üzletága harmadik alkalommal tudhatja magáénak az Euromoney elismerését, hiszen 2022 és 2024 után ismét felkerült a díjazottak listájára.</w:t>
      </w:r>
    </w:p>
    <w:p>
      <w:pPr/>
      <w:r>
        <w:rPr/>
        <w:t xml:space="preserve">Az MBH Bank privátbanki üzletága az Euromoney Private Banking Awards idei díjkiosztóján két díjat is elnyert. Az egyik elismerést az utódlástervezésért járó „Év Magyarországi Privátbankja Utódlástervezésben” kategóriában kapta, amely kiemelten fontos visszacsatolás az MBH Bank számára, hiszen a családi vagyontervezés a privátbanki szolgáltatások egyik stratégiai pillére, a bank szemléletmódjában is egyre nagyobb fókusz irányul rá.</w:t>
      </w:r>
    </w:p>
    <w:p>
      <w:pPr/>
      <w:r>
        <w:rPr/>
        <w:t xml:space="preserve">Az MBH Bank emellett elnyerte az „Év Magyarországi Privátbankja Diszkrecionális Portfóliókezelés” díjat is. A diszkrecionális vagyonkezelés területén szerzett elismerés jól példázza, hogy az MBH Bank privátbanki szolgáltatásai nemcsak a hazai, hanem a nemzetközi szakmai elvárásoknak is megfelelnek. A diszkrecionális vagyonkezelés a privátbanki működés egyik jövőbe mutató iránya, amely lehetővé teszi, hogy az ügyfelek portfólióit a bank professzionális elemzői támogatással, transzparens módon és aktívan kezelje. Ennek érdekében az MBH Bank a legmodernebb elemzési eszközöket és skálázható infrastruktúrát alkalmazva kínál személyre szabott, professzionális befektetési stratégiákat ügyfelei számára.</w:t>
      </w:r>
    </w:p>
    <w:p>
      <w:pPr/>
      <w:r>
        <w:rPr/>
        <w:t xml:space="preserve">„Az utódlástervezés és a diszkrecionális portfóliókezelés területén elnyert Euromoney díjak megerősítenek minket abban, hogy privátbanki szolgáltatásainkkal nemcsak a jelen kihívásaira adunk választ, hanem ügyfeleinket a jövőre is felkészítjük – hazai és nemzetközi szinten is kiemelkedő színvonalon. Büszkék vagyunk arra, hogy a családi vagyontervezésben úttörőként, ügyfeleink hosszú távú biztonságát szem előtt tartva dolgozunk, és hamarosan bemutatjuk egyedülálló, generációkon átívelő vagyonmegőrzést és -átadást támogató koncepciónkat. A diszkrecionális vagyonkezelésért kapott elismerés pedig azt mutatja, hogy befektetési szolgáltatásainkat professzionális háttérrel, nemzetközi sztenderdek mentén, személyre szabottan és felelősen nyújtjuk” – mondta Pleschinger Gyula Márk, az MBH Bank Private Banking igazgatója, az MBH Befektetési Bank Privátbankért és Befektetéselemzésért felelős vezérigazgató-helyettese.</w:t>
      </w:r>
    </w:p>
    <w:p>
      <w:pPr/>
      <w:r>
        <w:rPr/>
        <w:t xml:space="preserve">Az Euromoney Private Banking Awards a privátbanki szolgáltatások egyik legrangosabb nemzetközi elismerése, amely évente díjazza a legkiemelkedőbb piaci szereplőket különböző kategóriákban. A díjak odaítélését széles körű iparági felmérés és szakmai értékelés előzi meg.</w:t>
      </w:r>
    </w:p>
    <w:p>
      <w:pPr/>
      <w:r>
        <w:rPr/>
        <w:t xml:space="preserve">Sajtókapcsolat:</w:t>
      </w:r>
    </w:p>
    <w:p>
      <w:pPr>
        <w:numPr>
          <w:ilvl w:val="0"/>
          <w:numId w:val="1"/>
        </w:numPr>
      </w:pPr>
      <w:r>
        <w:rPr/>
        <w:t xml:space="preserve">sajto@mbhbank.hu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59.960937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MBH Bank
                <w:br/>
                <w:br/>
                A képen szereplő, középső három személy balról jobbra: Gregor István, osztályvezető, MBH Bank Private Banking, Családi Vagyontervezési Osztály; Pleschinger Gyula Márk, az MBH Bank Private Banking igazgatója és az MBH Befektetési Bank Privátbankért és befektetéselemzésért felelős vezérigazgató-helyettese és Czalbert László, a MBH Bank Private Banking hálózatirányítási és üzletfejlesztési terület igazgatója.
              </w:t>
            </w:r>
          </w:p>
        </w:tc>
      </w:tr>
      <w:tr>
        <w:trPr>
          <w:trHeight w:val="1000" w:hRule="atLeast"/>
        </w:trPr>
        <w:tc>
          <w:tcPr>
            <w:vAlign w:val="top"/>
            <w:noWrap/>
          </w:tcPr>
          <w:p>
            <w:pPr>
              <w:jc w:val="center"/>
            </w:pPr>
            <w:r>
              <w:pict>
                <v:shape type="#_x0000_t75" stroked="f" style="width:200pt; height:299.85358711567pt; margin-left:0pt; margin-top:0pt; mso-position-horizontal:left; mso-position-vertical:top; mso-position-horizontal-relative:char; mso-position-vertical-relative:line;">
                  <w10:wrap type="inline"/>
                  <v:imagedata r:id="rId8" o:title=""/>
                </v:shape>
              </w:pict>
            </w:r>
          </w:p>
        </w:tc>
        <w:tc>
          <w:tcPr>
            <w:vAlign w:val="top"/>
            <w:noWrap/>
          </w:tcPr>
          <w:p>
            <w:pPr/>
            <w:r>
              <w:rPr/>
              <w:t xml:space="preserve">
                © MBH Bank
                <w:br/>
                <w:br/>
              </w:t>
            </w:r>
          </w:p>
        </w:tc>
      </w:t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9" o:title=""/>
                </v:shape>
              </w:pict>
            </w:r>
          </w:p>
        </w:tc>
        <w:tc>
          <w:tcPr>
            <w:vAlign w:val="top"/>
            <w:noWrap/>
          </w:tcPr>
          <w:p>
            <w:pPr/>
            <w:r>
              <w:rPr/>
              <w:t xml:space="preserve">
                © MBH Bank
                <w:br/>
                <w:br/>
              </w:t>
            </w:r>
          </w:p>
        </w:tc>
      </w:tr>
    </w:tbl>
    <w:p>
      <w:pPr/>
      <w:r>
        <w:rPr/>
        <w:t xml:space="preserve">Eredeti tartalom: MBH Bank</w:t>
      </w:r>
    </w:p>
    <w:p>
      <w:pPr/>
      <w:r>
        <w:rPr/>
        <w:t xml:space="preserve">Továbbította: Helló Sajtó! Üzleti Sajtószolgálat</w:t>
      </w:r>
    </w:p>
    <w:p>
      <w:pPr/>
      <w:r>
        <w:rPr/>
        <w:t xml:space="preserve">
          Ez a sajtóközlemény a következő linken érhető el:
          <w:br/>
          https://hellosajto.hu/?p=20762
        </w:t>
      </w:r>
    </w:p>
    <w:sectPr>
      <w:headerReference w:type="default" r:id="rId10"/>
      <w:footerReference w:type="default" r:id="rId11"/>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2025-03-29</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MBH Bank</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D5D6D15B"/>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header" Target="header1.xml"/><Relationship Id="rId1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2025-03-28T18:39:28+00:00</dcterms:created>
  <dcterms:modified xsi:type="dcterms:W3CDTF">2025-03-28T18:39:28+00:00</dcterms:modified>
</cp:coreProperties>
</file>

<file path=docProps/custom.xml><?xml version="1.0" encoding="utf-8"?>
<Properties xmlns="http://schemas.openxmlformats.org/officeDocument/2006/custom-properties" xmlns:vt="http://schemas.openxmlformats.org/officeDocument/2006/docPropsVTypes"/>
</file>