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Kétszámjegyű lehet idén a lakáspiaci áremelkedés mértéke</w:t>
      </w:r>
      <w:bookmarkEnd w:id="0"/>
    </w:p>
    <w:p>
      <w:pPr/>
      <w:r>
        <w:rPr/>
        <w:t xml:space="preserve">Az MBH Elemzési Centrum negyedévente megjelenő Lakáspiaci Kitekintőjében átfogó képet ad az ingatlanpiacot befolyásoló legfontosabb tényezőkről. Az elemzés az árak alakulása mellett, többek között kitér az Új Gazdasági Akcióterv hatásaira, a kereslet és kínálat trendjeire, illetve a hitelezési folyamatok alakulására.</w:t>
      </w:r>
    </w:p>
    <w:p>
      <w:pPr/>
      <w:r>
        <w:rPr/>
        <w:t xml:space="preserve">2025-ben minden eddiginél nagyobb kifizetések történnek a prémium állampapíroknál. A tőke- és kamatfizetés megközelíti az 1750 milliárd forintot, ebből csak az év első három hónapjában 1270 milliárd kerül kifizetésre.</w:t>
      </w:r>
    </w:p>
    <w:p>
      <w:pPr/>
      <w:r>
        <w:rPr/>
        <w:t xml:space="preserve">Nem a PMÁP az egyetlen lakossági állampapír, amely idén kamatot fizet, összesítve 2025-ben 3000 milliárd Ft környékén lehet a tőke- és kamatkifizetés összege. Ennek a pénznek egy jelentős része a nagyot csökkenő kamatok miatt alternatív befektetési célpontot keres – részben ingatlan befektetés formájában. </w:t>
      </w:r>
    </w:p>
    <w:p>
      <w:pPr/>
      <w:r>
        <w:rPr/>
        <w:t xml:space="preserve">Mindennek már most tapasztalható a kereslet-felhajtó hatása, amely egyúttal felfelé hajthatja az ingatlanárakat. A Duna House Barométer adatai szerint például idén januárban a fővárosi adásvételek 36%-át a befektetési cél motiválta.</w:t>
      </w:r>
    </w:p>
    <w:p>
      <w:pPr/>
      <w:r>
        <w:rPr/>
        <w:t xml:space="preserve">A budapesti új lakások átlagos négyzetméterára 1,4 millió forint körül alakul</w:t>
      </w:r>
    </w:p>
    <w:p>
      <w:pPr/>
      <w:r>
        <w:rPr/>
        <w:t xml:space="preserve">Nőtt Budapest és a legtöbb vidéki települések közti árolló mértéke a használt lakások esetében.</w:t>
      </w:r>
    </w:p>
    <w:p>
      <w:pPr/>
      <w:r>
        <w:rPr/>
        <w:t xml:space="preserve">Az új és a használt lakások árváltozása kezd szétválni egymástól, mivel az új építésű lakások áremelkedési trendje továbbra is erős maradt, míg a használtaké csak enyhébb növekedést mutat.</w:t>
      </w:r>
    </w:p>
    <w:p>
      <w:pPr/>
      <w:r>
        <w:rPr/>
        <w:t xml:space="preserve">Már csak két kerületben fordul elő 1 millió forint alatti átlag-négyzetméterár</w:t>
      </w:r>
    </w:p>
    <w:p>
      <w:pPr/>
      <w:r>
        <w:rPr/>
        <w:t xml:space="preserve">Az ingatlan.com adatai szerint január elején Budapesten kerülettől függően 739 ezer és 1,9 millió forint között volt az eladó használt lakóingatlanok átlagos négyzetméterára. A legolcsóbb kerület a XX. a legdrágább pedig az V.</w:t>
      </w:r>
    </w:p>
    <w:p>
      <w:pPr/>
      <w:r>
        <w:rPr/>
        <w:t xml:space="preserve">A fővárosi új lakásoknál is jelentős eltérések vannak: 2,9 millió forintos átlagárával a XII. kerület a legdrágább, ezzel szemben a legalacsonyabb árat a XVIII. és XX. kerület nyújtja, mindkét városrészben 1 millió forint alatt maradt az új lakások átlagos négyzetméterára.</w:t>
      </w:r>
    </w:p>
    <w:p>
      <w:pPr/>
      <w:r>
        <w:rPr/>
        <w:t xml:space="preserve">A lakbérek is emelkedtek januárban</w:t>
      </w:r>
    </w:p>
    <w:p>
      <w:pPr/>
      <w:r>
        <w:rPr/>
        <w:t xml:space="preserve">A KSH-ingatlan.com lakbérindexe alapján a kínálati lakbérek 2025 januárjában tovább emelkedtek: országosan 1,7, Budapesten 1,8%-kal nőttek a kiadó lakások bérleti díjai a korábbi hónaphoz viszonyítva. Az előző év azonos időszakinál országosan 9,4, Budapesten 9,5%-kal, a 2015. évi bázisidőszakinál pedig 116, illetve 106%-kal voltak magasabbak a januári lakbérek.</w:t>
      </w:r>
    </w:p>
    <w:p>
      <w:pPr/>
      <w:r>
        <w:rPr/>
        <w:t xml:space="preserve">2025 januárjában a hirdetések túlnyomó többsége (92%-a) többlakásos épületben lévő lakásra vonatkozott, a fennmaradó mintegy 8%-ban családi házat hirdettek meg. Budapesten a kiadó lakások mindössze 3,6%-a volt családi ház.</w:t>
      </w:r>
    </w:p>
    <w:p>
      <w:pPr/>
      <w:r>
        <w:rPr/>
        <w:t xml:space="preserve">A Lakáspiaci Kitekintő teljes terjedelmében ide kattintva olvasható.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https://hellosajto.hu/20035/ketszamjegyu-lehet-iden-a-lakaspiaci-aremelkedes-merteke/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E97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2025-03-10T08:49:03+00:00</dcterms:created>
  <dcterms:modified xsi:type="dcterms:W3CDTF">2025-03-10T08:49:03+00:00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