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MBH Bank: kiemelkedő érdeklődés az újabb nemzetközi kötvény iránt</w:t>
      </w:r>
      <w:bookmarkEnd w:id="0"/>
    </w:p>
    <w:p>
      <w:pPr/>
      <w:r>
        <w:rPr/>
        <w:t xml:space="preserve">Kiemelt befektetői érdeklődés mutatkozott az MBH Bank Nyrt. újabb nemzetközi, MREL-képes kötvénye iránt 2025. január 21-én. Összesen 1,6 milliárd eurót meghaladó ajánlat érkezett be a befektetőktől, ami az induláskor megfogalmazott minimum célhoz képest több mint háromszoros túljegyzést jelent. A hitelintézet a befogadott ajánlatok alapján végül 750 millió euró össznévértékű kötvénykibocsátásról döntött, amely az eddigi legnagyobb, magyar kibocsátó által végrehajtott MREL-képes kötvénytranzakció. A beérkezett ajánlatok emellett visszaigazolják az MBH Bank ismertségét, valamint elfogadottságát a nemzetközi tőkepiacokon és a nemzetközi befektetők körében.</w:t>
      </w:r>
    </w:p>
    <w:p>
      <w:pPr/>
      <w:r>
        <w:rPr/>
        <w:t xml:space="preserve">Az MBH Bank Nyrt. újabb, nemzetközi kötvénykibocsátása a 2024-ben indult 1,5 milliárd eurós keretösszegű kötvényprogram részeként valósul meg. A kibocsátás során a befektetők jelentős túljegyzés mellett, több mint 1,6 milliárd euró össznévértékben nyújtottak be ajánlatot, amelyből végül az MBH Bank 750 millió euró értékű ajánlatot fogadott el. Az 5 éves futamidejű, 4 év után visszahívható, rendes fedezetlen követelésnek minősülő kötvények kibocsátására 2025. január 29-ei értéknappal kerül sor. A kötvények a bank MREL-követelményeknek, vagyis a szavatoló tőkére és leírható vagy átalakítható kötelezettségekre vonatkozó minimumkövetelményeknek való megfelelését szolgálják.</w:t>
      </w:r>
    </w:p>
    <w:p>
      <w:pPr/>
      <w:r>
        <w:rPr/>
        <w:t xml:space="preserve">A kibocsátás során rendkívül széleskörű volt az érdeklődés, összesen 130 befektető adott be ajánlatot, továbbá a befogadott ajánlatok több mint 80 százaléka nemzetközi befektetőktől érkezett. A tranzakció emellett az MBH Bank ismertségét és elismertségét is erősíti, valamint hozzásegíti az MBH Bankot a hazai és a nemzetközi térben egyaránt tervezett tőkepiaci szintlépéshez.</w:t>
      </w:r>
    </w:p>
    <w:p>
      <w:pPr/>
      <w:r>
        <w:rPr/>
        <w:t xml:space="preserve">„A mostani kibocsátás nemcsak azért jelentőségteljes, mert ezáltal a bank megfelel a legszigorúbb nemzetközi elvárásoknak, miközben stabil értéket teremt befektetői számára, hanem azért is, mert újabb lépést jelent a tőkepiaci jelenlétünk erősítésében” – tette hozzá Krizsanovich Péter, az MBH Bank stratégiáért és pénzügyekért felelős vezérigazgató-helyettese.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sajto@mbhbank.hu</w:t>
      </w:r>
    </w:p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https://hellosajto.hu/18533/mbh-bank-kiemelkedo-erdeklodes-az-ujabb-nemzetkozi-kotveny-irant/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B8F9C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2025-01-22T07:50:37+00:00</dcterms:created>
  <dcterms:modified xsi:type="dcterms:W3CDTF">2025-01-22T07:50:37+00:00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