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Módosult a termésnövelő anyagokról szóló rendelet</w:t>
      </w:r>
      <w:bookmarkEnd w:id="0"/>
    </w:p>
    <w:p>
      <w:pPr/>
      <w:r>
        <w:rPr/>
        <w:t xml:space="preserve">Tavaly év végén módosult a termelésnövelő anyagok engedélyezéséről, tárolásáról, forgalmazásáról és felhasználásról szóló rendelet. A Nébih összefoglalta a vízvédelmi védősávokról és a méhekre vonatkozó korlátozásról szóló legfontosabb információkat.</w:t>
      </w:r>
    </w:p>
    <w:p>
      <w:pPr/>
      <w:r>
        <w:rPr/>
        <w:t xml:space="preserve">Vízvédelmi védősávok</w:t>
      </w:r>
    </w:p>
    <w:p>
      <w:pPr/>
      <w:r>
        <w:rPr/>
        <w:t xml:space="preserve">A termésnövelő anyagok engedélyezéséről, tárolásáról, forgalmazásáról és felhasználásáról szóló rendelet1 tavaly év végi módosítása értelmében a termésnövelő anyag felhasználásakor tilos termésnövelő anyagot kijuttatni folyóvizek partjától mért 5 méter vagy állóvizek partjától mért 20 méter távolságon belül (rendelet 16. § (7) bekezdés).</w:t>
      </w:r>
    </w:p>
    <w:p>
      <w:pPr/>
      <w:r>
        <w:rPr/>
        <w:t xml:space="preserve">A jogszabály érvényes minden a módosítás hatálybalépésének napján érvényes engedélyokirattal rendelkező, illetve jövőben kiadásra kerülő termésnövelő készítményre így az engedélyokiratok egyedi módosítása nem szükséges.  Ahol a termésnövelő anyag engedélyokiratában a foglaltaktól eltérő védőtávolság szerepel (50 méteres vízvédelmi védősáv vagy egyéb jogszabályi hivatkozás), ott a vízvédelmi védősávra vonatkozó mondat 2024. december 31-jétől nem érvényes (rendelet 18. § (3g) bekezdés). </w:t>
      </w:r>
    </w:p>
    <w:p>
      <w:pPr/>
      <w:r>
        <w:rPr/>
        <w:t xml:space="preserve">A Nébih felhívja a figyelmet, hogy amennyiben a hatóság úgy ítéli meg, hivatalból vagy akár az ügyfél kérelmére eltér a rendelettől, akár szigorúbb környezetvédelmi intézkedés betartását is előírhatja a készítmény engedélyokiratában, a jogszabály értelmében (rendelet 16. § (8) bekezdés).</w:t>
      </w:r>
    </w:p>
    <w:p>
      <w:pPr/>
      <w:r>
        <w:rPr/>
        <w:t xml:space="preserve">Méhekre vonatkozó korlátozás</w:t>
      </w:r>
    </w:p>
    <w:p>
      <w:pPr/>
      <w:r>
        <w:rPr/>
        <w:t xml:space="preserve">Új előírás, hogy a forgalomba hozott termésnövelő anyag méhek által látogatott területen csak akkor alkalmazható, ha az engedélyokirat erre kifejezetten lehetőséget ad (rendelet 16. § (9) bekezdés).  A hivatal kiemeli, hogy a termésnövelő anyagok engedélyokiratai csak abban az esetben tartalmaznak a méhek védelmében felhasználás korlátozást, amennyiben annak alkalmazása kötelező az adott termésnövelő anyag felhasználásakor. Amennyiben a termésnövelő anyag engedélyokiratának 5. ’Felhasználás’ pontja nem tartalmaz méhvédelmi előírást, akkor a termésnövelő anyag a meghatározott növénykultúrákban és a felhasználásban előírtak szerint, méhekre vonatkozó korlátozás nélkül virágzásban is felhasználható. </w:t>
      </w:r>
    </w:p>
    <w:p>
      <w:pPr/>
      <w:r>
        <w:rPr/>
        <w:t xml:space="preserve">1 Hivatkozott jogszabály: A termésnövelő anyagok engedélyezéséről, tárolásáról, forgalmazásáról és felhasználásáról szóló 36/2006. (V. 18.) FVM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https://hellosajto.hu/?p=18451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9B0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2025-01-17T19:39:39+00:00</dcterms:created>
  <dcterms:modified xsi:type="dcterms:W3CDTF">2025-01-17T19:39:39+00:00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