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Tovább bővül a CETOP, a Budapesti Értéktőzsde Közép-európai indexcsaládja</w:t>
      </w:r>
      <w:bookmarkEnd w:id="0"/>
    </w:p>
    <w:p>
      <w:pPr/>
      <w:r>
        <w:rPr/>
        <w:t xml:space="preserve">Új taggal bővül a Budapesti Értéktőzsde régiós tőzsdéket követő CETOP indexcsaládja. Megkezdődött a CETOP 5/10/40 index számítása a BÉT-en, amely a legjelentősebb közép-európai tőzsdei vállalatok teljesítményét tükrözi. Az új mérőszám nettó hozamindex és minden tőzsdenap végén kerül kiszámításra és közzétételre, így elsődlegesen benchmark funkciót tölt be. A legfontosabb újítás pedig, hogy megfelel azoknak a befektetési korlátoknak is, amelyeket az Európai Unió befektetési alapok kezelésére és értékesítésére vonatkozó direktívája (UCITS) ír elő.</w:t>
      </w:r>
    </w:p>
    <w:p>
      <w:pPr/>
      <w:r>
        <w:rPr/>
        <w:t xml:space="preserve">A Budapesti Értéktőzsde számára kiemelten fontos, hogy innovatív megoldásokat és befektetési lehetőségeket biztosítson a hazai és regionális befektetők számára, folyamatosan bővítve a rendelkezésre álló lehetőségeket. Ennek jegyében a CETOP indexek célja, hogy referenciaként szolgáljanak a térség iránt érdeklődő befektetők számára. A CETOP napvégi árindex már 2002 óta használható benchmarkként, 2024 februárjától pedig a CETOP NTR valós időben számolt nettó hozamindex, valamint a rá épült kereskedhető termék, a CETOP ETF is elérhető a BÉT palettáján.</w:t>
      </w:r>
    </w:p>
    <w:p>
      <w:pPr/>
      <w:r>
        <w:rPr/>
        <w:t xml:space="preserve">Az indexcsalád új tagja, a CETOP 5/10/40 lehetőséget nyújt arra, hogy az Európai Unió befektetési alapok kezelésére és értékesítésére vonatkozó direktívájában (UCITS, azaz Undertakings for Collective Investment in Transferable Securities) foglalt befektetési korlátok teljesüljenek. Ezen szabályrendszer szerint az indexben legfeljebb 5 százalék súllyal szerepelhet egy-egy részvény, azonban a határérték 10 százalékra is növelhető abban az esetben, amennyiben az 5 százalék feletti súllyal rendelkező eszközök összege nem éri el az index 40 százalékát.</w:t>
      </w:r>
    </w:p>
    <w:p>
      <w:pPr/>
      <w:r>
        <w:rPr/>
        <w:t xml:space="preserve">A CETOP indexcsaládról további információk a Budapesti Értéktőzsde weboldalán érhetők el.</w:t>
      </w:r>
    </w:p>
    <w:p>
      <w:pPr/>
      <w:r>
        <w:rPr/>
        <w:t xml:space="preserve">Sajtókapcsolat:</w:t>
      </w:r>
    </w:p>
    <w:p>
      <w:pPr>
        <w:numPr>
          <w:ilvl w:val="0"/>
          <w:numId w:val="1"/>
        </w:numPr>
      </w:pPr>
      <w:r>
        <w:rPr/>
        <w:t xml:space="preserve">media@bse.hu</w:t>
      </w:r>
    </w:p>
    <w:p>
      <w:pPr/>
      <w:r>
        <w:rPr/>
        <w:t xml:space="preserve">Eredeti tartalom: Budapesti Értéktőzsde Nyrt.</w:t>
      </w:r>
    </w:p>
    <w:p>
      <w:pPr/>
      <w:r>
        <w:rPr/>
        <w:t xml:space="preserve">Továbbította: Helló Sajtó! Üzleti Sajtószolgálat</w:t>
      </w:r>
    </w:p>
    <w:p>
      <w:pPr/>
      <w:r>
        <w:rPr/>
        <w:t xml:space="preserve">
          Ez a sajtóközlemény a következő linken érhető el:
          <w:br/>
          https://hellosajto.hu/15434/tovabb-bovul-a-cetop-a-budapesti-ertektozsde-kozep-europai-indexcsaladja/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2024-10-03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Értéktőzsde Nyrt.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43F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2024-10-03T17:11:59+00:00</dcterms:created>
  <dcterms:modified xsi:type="dcterms:W3CDTF">2024-10-03T17:11:59+00:00</dcterms:modified>
</cp:coreProperties>
</file>

<file path=docProps/custom.xml><?xml version="1.0" encoding="utf-8"?>
<Properties xmlns="http://schemas.openxmlformats.org/officeDocument/2006/custom-properties" xmlns:vt="http://schemas.openxmlformats.org/officeDocument/2006/docPropsVTypes"/>
</file>