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Nem teljesített több felügyeleti kötelezést az MBH Bank és az MBH Befektetési Bank</w:t>
      </w:r>
      <w:bookmarkEnd w:id="0"/>
    </w:p>
    <w:p>
      <w:pPr/>
      <w:r>
        <w:rPr/>
        <w:t xml:space="preserve">Az MNB összesen 32,5 millió forint bírságot szabott ki az MBH Bankra és leányvállalatára a korábbi felügyeleti határozatokban foglalt intézkedési kötelezettségek elmulasztása miatt. A feltárt szabályszegéseknek nem volt jelentős hatásuk a biztonságos működésre, az ügyfélkörre, illetve a pénzpiacra sem, ugyanakkor az MNB ismételten előírta a jogsértések mielőbbi kiküszöbölését.</w:t>
      </w:r>
    </w:p>
    <w:p>
      <w:pPr/>
      <w:r>
        <w:rPr/>
        <w:t xml:space="preserve">A Magyar Nemzeti Bank (MNB) ma közzétett határozataiban ismételten kötelezte az MBH Bank Nyrt.-t (MBH Bank), valamint az MBH Befektetési Bank Zrt.-t (MBH Befektetési Bank), hogy tegyenek eleget a jegybank korábbi határozatában foglalt felügyeleti intézkedéseknek.</w:t>
      </w:r>
    </w:p>
    <w:p>
      <w:pPr/>
      <w:r>
        <w:rPr/>
        <w:t xml:space="preserve">A pénzügyi felügyelet 2022-2023-ban csoportszintű átfogó vizsgálatot folytatott az MBH-csoportnál, így az MBH Banknál és az MBH Befektetési Banknál is. Az MNB a vizsgálatot lezáró határozatában az MBH Banknál többek között a belső ellenőrzés és az adatszolgáltatási szakterület létszámhiányos működését, a likviditási adatszolgáltatási jelentések késedelmes teljesítését, az informatikai sérülékenységvizsgálatok kezelésének gyakorlati és szabályozási hiányosságait, valamint egyes nem kellően biztonságos informatikai rendszerek kockázatát tárta fel. Az MBH Befektetési Banknál alapvetően az informatikai sérülékenységvizsgálatok kezelésének gyakorlata és szabályozása kapcsán azonosított hiányosságokat.</w:t>
      </w:r>
    </w:p>
    <w:p>
      <w:pPr/>
      <w:r>
        <w:rPr/>
        <w:t xml:space="preserve">A megállapított jogsértések miatt az MNB beszámolási kötelezettségeket írt elő mindkét intézmény számára, egyidejűleg bírságszankciót is alkalmazott.</w:t>
      </w:r>
    </w:p>
    <w:p>
      <w:pPr/>
      <w:r>
        <w:rPr/>
        <w:t xml:space="preserve">Ezt követően a pénzügyi felügyelet intézkedéseinek nyomonkövetése, a benyújtott intézményi beszámolók ellenőrzése és kiértékelése során megállapította, hogy az érintett társaságok nem tettek maradéktalanul eleget a felügyelet által előírtaknak a határozatokban megszabott teljesítési határidőn belül. Ennek nyomán az MNB a változatlanul meglévő jogszabályi hiányosságok miatt ma közzétett határozataiban az MBH Bankra 28,5 millió forint, az MBH Befektetési Bankra 4 millió forint felügyeleti bírságot szabott ki. Végső határidők tűzésével kötelezte őket emellett arra is, hogy rendkívüli adatszolgáltatás keretében számoljanak be a problémák megszüntetésére tett intézkedéseikről.</w:t>
      </w:r>
    </w:p>
    <w:p>
      <w:pPr/>
      <w:r>
        <w:rPr/>
        <w:t xml:space="preserve">A bírságösszeg meghatározásakor súlyosító körülménynek számított többek között, hogy az intézmények a korábbi határozatokban alkalmazott felügyeleti intézkedéseket nem teljesítették maradéktalanul, illetve az MNB figyelembe vette az MBH Bank pénzpiacon betöltött jelentős szerepét és súlyát is.</w:t>
      </w:r>
    </w:p>
    <w:p>
      <w:pPr/>
      <w:r>
        <w:rPr/>
        <w:t xml:space="preserve">Sajtókapcsolat:</w:t>
      </w:r>
    </w:p>
    <w:p>
      <w:pPr>
        <w:numPr>
          <w:ilvl w:val="0"/>
          <w:numId w:val="1"/>
        </w:numPr>
      </w:pPr>
      <w:r>
        <w:rPr/>
        <w:t xml:space="preserve">+36 1 428 2600</w:t>
      </w:r>
    </w:p>
    <w:p>
      <w:pPr>
        <w:numPr>
          <w:ilvl w:val="0"/>
          <w:numId w:val="1"/>
        </w:numPr>
      </w:pPr>
      <w:r>
        <w:rPr/>
        <w:t xml:space="preserve">sajto@mnb.hu</w:t>
      </w:r>
    </w:p>
    <w:p>
      <w:pPr/>
      <w:r>
        <w:rPr/>
        <w:t xml:space="preserve">Eredeti tartalom: Magyar Nemzeti Bank</w:t>
      </w:r>
    </w:p>
    <w:p>
      <w:pPr/>
      <w:r>
        <w:rPr/>
        <w:t xml:space="preserve">Továbbította: Helló Sajtó! Üzleti Sajtószolgálat</w:t>
      </w:r>
    </w:p>
    <w:p>
      <w:pPr/>
      <w:r>
        <w:rPr/>
        <w:t xml:space="preserve">
          Ez a sajtóközlemény a következő linken érhető el:
          <w:br/>
          https://hellosajto.hu/14983/nem-teljesitett-tobb-felugyeleti-kotelezest-az-mbh-bank-es-az-mbh-befektetesi-bank/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2024-09-12</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Magyar Nemzeti Bank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6769E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2024-09-12T18:22:36+00:00</dcterms:created>
  <dcterms:modified xsi:type="dcterms:W3CDTF">2024-09-12T18:22:36+00:00</dcterms:modified>
</cp:coreProperties>
</file>

<file path=docProps/custom.xml><?xml version="1.0" encoding="utf-8"?>
<Properties xmlns="http://schemas.openxmlformats.org/officeDocument/2006/custom-properties" xmlns:vt="http://schemas.openxmlformats.org/officeDocument/2006/docPropsVTypes"/>
</file>