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befektetőket félrevezető módon növelte egy tőzsdei értékpapír kereskedési volumenét a részvényes</w:t>
      </w:r>
      <w:bookmarkEnd w:id="0"/>
    </w:p>
    <w:p>
      <w:pPr/>
      <w:r>
        <w:rPr/>
        <w:t xml:space="preserve">Az MNB 10 millió forint piacfelügyeleti bírságot szabott ki egy magánszemélyre a piaci visszaélésekről szóló uniós rendeletben foglalt piaci manipuláció miatt, s megtiltotta a jogszabály ismételt megsértését. A magánszemély egy tőzsdei részvény kereskedési volumenének lényeges megemelésével adott hamis, félrevezető jelzést a befektetőknek.</w:t>
      </w:r>
    </w:p>
    <w:p>
      <w:pPr/>
      <w:r>
        <w:rPr/>
        <w:t xml:space="preserve">A Magyar Nemzeti Bank (MNB) bejelentések, illetve saját adatai alapján piacfelügyeleti vizsgálatot folytatott le annak áttekintésére, hogy egy magánszemély megsértette-e a piaci visszaélésekről szóló európai uniós rendelet (MAR) piaci manipulációt tiltó előírását.</w:t>
      </w:r>
    </w:p>
    <w:p>
      <w:pPr/>
      <w:r>
        <w:rPr/>
        <w:t xml:space="preserve">A felügyelet feltárta, hogy a magánszemély – indoklása szerint saját „daytrade” kereskedési stratégiájának megvalósítása érdekében – 20 kereskedési napon olyan mennyiségű (folyamatos, egymással párhuzamos vételi és eladási) ügyletet kötött a Budapesti Értéktőzsdén jegyzett MASTERPLAST részvényekkel, hogy az minden esetben meghaladta az adott értékpapír napi tőzsdei forgalmának 30 százalékát. Egyes kereskedési napokon ügyletei az összforgalom 40-70 százalékát is elérték.</w:t>
      </w:r>
    </w:p>
    <w:p>
      <w:pPr/>
      <w:r>
        <w:rPr/>
        <w:t xml:space="preserve">E jogsértés akkor is megvalósul, ha annak elkövetőjének nem közvetlen célja a piaci manipuláció, hanem tevékenysége egyéb, saját szemszögéből akár gazdaságilag racionálisnak is tekinthető okkal (pl. a daytrade stratégiájával) magyarázható. A MAR rendelkezéseiből ugyanis egyértelműen következik, hogy a valós piaci kínálati, keresleti viszonyok révén kialakuló piacszerű tőzsdei kereskedelemhez, s a tőkepiacba vetett közbizalom fenntartásához az egyéni (akár szubjektív értelemben racionálisnak is tekinthető) döntésekhez képest magasabb rendű közérdek fűződik.</w:t>
      </w:r>
    </w:p>
    <w:p>
      <w:pPr/>
      <w:r>
        <w:rPr/>
        <w:t xml:space="preserve">Az érintett, Prémium kategóriában kereskedett részvény piacának egyedi, így különösen az átlagos kereskedési volumenre és a likviditásra vonatkozó jellemzői alapján az MNB azt állapította meg, hogy amennyiben a napi összforgalom legalább 30, de egyes esetekben akár 40-70 százalékát is egyetlen piaci szereplő generálja, úgy ez a kereskedési technika potenciálisan alkalmas az érintett pénzügyi eszköz piaca kapcsán a valós piaci megítélés, azaz a tőkepiac többi szereplője által érzékelhető kínálati, keresleti vagy árazási viszonyok torzítására. Ilyen esetben ugyanis a piac szereplői befektetési döntéseiket abban a tudatban hozzák meg, hogy az adott részvényre valós, intenzív kereslet mutatkozik.</w:t>
      </w:r>
    </w:p>
    <w:p>
      <w:pPr/>
      <w:r>
        <w:rPr/>
        <w:t xml:space="preserve">Az MNB megállapította, hogy a magánszemély ennek révén hamis, félrevezető jelzéseket adott a tőkepiaci szereplők felé az adott tőzsdei részvény kereskedési volumene, likviditása kapcsán. Ezek nyomán a piacon kereskedő további befektetők az adott részvény kínálatára és keresletére vonatkozó hamis, félrevezető információk alapján hozhattak befektetési döntéseket.</w:t>
      </w:r>
    </w:p>
    <w:p>
      <w:pPr/>
      <w:r>
        <w:rPr/>
        <w:t xml:space="preserve">Mindezek miatt az MNB ma közzétett határozatában megtiltotta a magánszemélynek a MAR rendelet ismételt megsértését, s a piaci manipuláció miatt 10 millió forint piacfelügyeleti bírságot szabott ki rá. A bírságösszeg meghatározásánál súlyosító körülményként került értékelésre, hogy a jogsértés kapcsán érintett részvény a Prémium tőzsdei kategóriába tartozik, s a jogsértéssel érintett időszakban szerepelt a BUX és a BUMIX indexkosarakban is. Az ügyfél emellett a jogsértést a MAR ismeretében, több évtizedes tőkepiaci tapasztalata birtokában, számos kereskedési napon követte el. Az MNB – következetes gyakorlata szerint – jelen ügyben is feljelentést tesz tiltott piacbefolyásolás gyanújával.</w:t>
      </w:r>
    </w:p>
    <w:p>
      <w:pPr/>
      <w:r>
        <w:rPr/>
        <w:t xml:space="preserve">A Magyar Nemzeti Bank H-PJ-III-B-12/2024. számú határozata intézkedés alkalmazásáról és piacfelügyeleti bírság kiszabásáról egy részvényessel szemben a piaci manipuláció tilalmára vonatkozó jogszabályi rendelkezések megsértése miatt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https://hellosajto.hu/13380/a-befektetoket-felrevezeto-modon-novelte-egy-tozsdei-ertekpapir-kereskedesi-volumenet-a-reszvenyes/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7CC52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2024-05-07T19:30:54+00:00</dcterms:created>
  <dcterms:modified xsi:type="dcterms:W3CDTF">2024-05-07T19:30:54+00:00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