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Fokozott befektetői kockázattal járhatnak a kriptoeszközök, kriptotőzsdék</w:t>
      </w:r>
      <w:bookmarkEnd w:id="0"/>
    </w:p>
    <w:p>
      <w:pPr/>
      <w:r>
        <w:rPr/>
        <w:t xml:space="preserve">A kriptopiaci szereplők – szolgáltatók, kereskedési platformok – által működtetett ökoszisztéma jelenleg még felügyelet, garanciális és kárviselési szabályok nélkül működik itthon. Alapvető fontosságú ezért, hogy a fogyasztók előzetesen tájékozódjanak arról: pontosan milyen kockázatai vannak az általuk igénybe veendő kriptoeszközöknek (pl. a Bitcoinnak), illetve kriptotőzsdéknek (pl. a Binance-nek). Az MNB eközben felkészül a kriptopiaci szereplők felügyelésére.</w:t>
      </w:r>
    </w:p>
    <w:p>
      <w:pPr/>
      <w:r>
        <w:rPr/>
        <w:t xml:space="preserve">Piaci becslések szerint Magyarországon már mintegy 200 ezer ügyfél rendelkezik virtuális kriptoeszközökkel (a legtöbben valószínűleg Bitcoin-nal) és köt azokkal ügyleteket kereskedési platformokon (kriptotőzsdéken, pl. a Binance). A befektetők köre folyamatosan növekszik.</w:t>
      </w:r>
    </w:p>
    <w:p>
      <w:pPr/>
      <w:r>
        <w:rPr/>
        <w:t xml:space="preserve">A kriptoeszközök kockázatosnak számítanak, még akkor is, ha egy vagy több ország hivatalos fizetőeszközéhez vagy valamilyen más eszközhöz kötik őket. Fizetési probléma, visszaélés, lopás és hasonló tisztességtelen magatartások esetén nem védik a fogyasztókat betét- vagy befektetővédelmi garanciaintézmények. Hiányoznak a szektor specifikus felelősségi és kárviselési előírások is.</w:t>
      </w:r>
    </w:p>
    <w:p>
      <w:pPr/>
      <w:r>
        <w:rPr/>
        <w:t xml:space="preserve">A – több ezerféle – kriptoeszköz árfolyam-ingadozása gyakorta jelentős és kiszámíthatatlan, az átlagos befektetők számára gyakran ismeretlen események mozgatják azt. Bár pl. a Bitcoin árfolyama az elmúlt hetekben történelmi rekordot döntött, 2014-ben, 2018-ban és 2022-ben is értékének felét-háromnegyedét veszítette el, akár rövid idő alatt.</w:t>
      </w:r>
    </w:p>
    <w:p>
      <w:pPr/>
      <w:r>
        <w:rPr/>
        <w:t xml:space="preserve">A befektetőknek nem szabad hagyományos tőzsdei eszközökként sem értékelniük a kriptovalutákat, még akkor sem, ha pl. az USA-ban idén januártól a tőzsdén kereskedett olyan alapok, amelyek elsődleges mögöttes eszköze Bitcoin (ETF) is elérhetővé váltak. A fogyasztóvédelmi és pénzügyi stabilitási kockázatokra az érintett uniós hatóság (ESMA) is folyamatosan felhívja a figyelmet.</w:t>
      </w:r>
    </w:p>
    <w:p>
      <w:pPr/>
      <w:r>
        <w:rPr/>
        <w:t xml:space="preserve">A kockázatok kapcsán kiemelendő, hogy az elmúlt években a piac folyamatosan szembesült a „rug pull” típusú visszaélésekkel. Az ilyen magatartások esetén a projekt mögött álló személyek jellemzően új kriptoeszközöket hoznak létre, és intenzíven reklámozzák azokat a fogyasztók számára. Utóbbiak jellemzően abban a reményben kereskednek az új eszközzel, hogy annak értéke dinamikusan nő. Amikor megfelelő mennyiségű ügyféleszköz gyűlt össze a projektben, a fejlesztők végül elszívják azokat a kezdeményezésből és jellemzően eltűnnek velük. Ezzel egyrészt megkárosítják az ügyfeleket, másrészt – lenullázva a kibocsátott kriptoeszköz értékét – a további birtokosoknak is veszteséget okoznak.</w:t>
      </w:r>
    </w:p>
    <w:p>
      <w:pPr/>
      <w:r>
        <w:rPr/>
        <w:t xml:space="preserve">Szembe kell nézni azzal is, hogy aki óvatlan és nem tárolja biztonságosan (akár az internettől is védve) meglévő kripoeszközeit, kibertámadás áldozatává is válhat. A károsultak bűncselekmény gyanújánál büntetőfeljelentéssel és polgári perben érvényesíthetik jogaikat – sokszor külföldön, idegen jogi és nyelvi környezetben.</w:t>
      </w:r>
    </w:p>
    <w:p>
      <w:pPr/>
      <w:r>
        <w:rPr/>
        <w:t xml:space="preserve">A kriptokereskedés tekintetében a kriptoeszközök piacáról szóló európai uniós rendelet (MiCA) tavalyi hatályba lépéséig nem volt egységes szabályozás az EU-ban. Itthon a Magyar Országgyűlés elé beterjesztett törvénytervezet szerint a jogalkotó a Magyar Nemzeti Bankot (MNB) bízhatja meg a MiCA végrehajtásával, az érintett piaci szereplők felügyelésével.</w:t>
      </w:r>
    </w:p>
    <w:p>
      <w:pPr/>
      <w:r>
        <w:rPr/>
        <w:t xml:space="preserve">A kriptopiaci platformok, kriptotőzsdék, egyéb kriptoszolgáltatók a MiCA alapján – az akár 2026. július 1-jéig tartó türelmi időszakot követően – az uniós jegybankok, pénzügyi felügyeletek felügyelési hatásköre alá kerülnek. Más pénzügyi szektorokhoz hasonlóan viszont rájuk is az a szabály vonatkozik majd, hogy ha bármelyik EU-tagállamban engedélyezték tevékenységüket, dönthetnek úgy, hogy a további tagországokban határon átnyúló szolgáltatóként (azokban csak regisztrálva magukat) nyújtanak szolgáltatást.</w:t>
      </w:r>
    </w:p>
    <w:p>
      <w:pPr/>
      <w:r>
        <w:rPr/>
        <w:t xml:space="preserve">Ilyenkor a „fogadó állam”, így Magyarország jegybankjának csak rendkívül korlátozott prudenciális és fogyasztóvédelmi jogosítványai lehetnek. Az MNB csak a hazai székhelyű kriptoszolgáltatók esetében láthat el teljeskörű felügyelést.</w:t>
      </w:r>
    </w:p>
    <w:p>
      <w:pPr/>
      <w:r>
        <w:rPr/>
        <w:t xml:space="preserve">Bár számos kriptotőzsde már ma is alkalmaz ügyfélvédelmi biztonsági intézkedéseket – pl. a tranzakcióknál megerősített ügyfélazonosítás, gyanús kifizetések átmeneti felfüggesztése, vétlen ügyfelek káraira elkülönített pénzalap –, ezeket a legtöbb EU-tagállamban legfeljebb pénzmosási szempontból vizsgálhatja az adott felügyeleti hatóság.</w:t>
      </w:r>
    </w:p>
    <w:p>
      <w:pPr/>
      <w:r>
        <w:rPr/>
        <w:t xml:space="preserve">Továbbra is kockázatot jelent, ha egyes kriptotőzsdék platformjainak biztonsági rendszereit hackerek feltörik és ügyfelek nagy összegű kriptoeszközeit tulajdonítják el. Óvatosságra intő jel, ha a világ valamelyik jegybankja vagy tőzsdefelügyelete (pl. tavaly az amerikai SEC a Binance ellen) eljárást indít egy kriptotőzsde ellen a befektetők félrevezetésének, illetve az értékpapírszabályok kijátszásának gyanújával.</w:t>
      </w:r>
    </w:p>
    <w:p>
      <w:pPr/>
      <w:r>
        <w:rPr/>
        <w:t xml:space="preserve">Mindezek miatt érdemes előzetesen alaposan tájékozódni és fokozott óvatossággal eljárni kriptoeszközökkel való kereskedés, illetve a különböző kriptotőzsdék igénybevétele előtt. Alapvető fontosságú ismerni azt, hogy melyek az adott kriptovaluta és platform konkrét jellemzői, kockázatai.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https://hellosajto.hu/12848/fokozott-befektetoi-kockazattal-jarhatnak-a-kriptoeszkozok-kriptotozsdek/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51D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2024-04-12T06:15:11+00:00</dcterms:created>
  <dcterms:modified xsi:type="dcterms:W3CDTF">2024-04-12T06:15:11+00:00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