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Európai Parlament elfogadta az uniós villamosenergia-piac reformját</w:t>
      </w:r>
      <w:bookmarkEnd w:id="0"/>
    </w:p>
    <w:p>
      <w:pPr/>
      <w:r>
        <w:rPr/>
        <w:t xml:space="preserve">Az EU villamosenergia-piaca megfizethetőbb és fogyasztóbarátabb lesz</w:t>
      </w:r>
    </w:p>
    <w:p>
      <w:pPr/>
      <w:r>
        <w:rPr/>
        <w:t xml:space="preserve">„Különbözeti szerződések" az energetikai beruházások ösztönzésére</w:t>
      </w:r>
    </w:p>
    <w:p>
      <w:pPr/>
      <w:r>
        <w:rPr/>
        <w:t xml:space="preserve">A kiszolgáltatott fogyasztók védelmet kapnak az áramkimaradás ellen</w:t>
      </w:r>
    </w:p>
    <w:p>
      <w:pPr/>
      <w:r>
        <w:rPr/>
        <w:t xml:space="preserve">Az EU-nak joga lesz regionális vagy uniós szintű villamosenergia-árválság kihirdetésére</w:t>
      </w:r>
    </w:p>
    <w:p>
      <w:pPr/>
      <w:r>
        <w:rPr/>
        <w:t xml:space="preserve">A csütörtökön elfogadott reform stabilabbá, megfizethetőbbé és fenntarthatóbbá teszi az uniós villamosenergia-piacot.</w:t>
      </w:r>
    </w:p>
    <w:p>
      <w:pPr/>
      <w:r>
        <w:rPr/>
        <w:t xml:space="preserve">A Tanáccsal már egyeztetett szabályokat – melyek egy rendeletből és egy irányelvből állnak – 433 szavazattal, 140 ellenében és 15 tartózkodás mellett, illetve 473 szavazattal, 80 ellenszavazattal és 27 tartózkodás mellett szavazta meg az Európai Parlament csütörtökön.</w:t>
      </w:r>
    </w:p>
    <w:p>
      <w:pPr/>
      <w:r>
        <w:rPr/>
        <w:t xml:space="preserve">Az új szabályok megvédik a fogyasztókat az áringadozásoktól. A képviselők elérték, hogy a fogyasztóknak joguk lesz hozzáférni a rögzített áras vagy a dinamikus áras szerződésekhez, és tájékoztatást kapnak majd az általuk kötött opciókról. A szállítók nem változtathatják meg egyoldalúan a szerződési feltételeket. A képviselők azt is biztosították, hogy az uniós országok megtilthatják a szolgáltatóknak, hogy a kiszolgáltatott fogyasztók áramellátását megszakítsák, többek között a szolgáltatók és a fogyasztók közötti viták során.</w:t>
      </w:r>
    </w:p>
    <w:p>
      <w:pPr/>
      <w:r>
        <w:rPr/>
        <w:t xml:space="preserve">Különbözeti szerződések</w:t>
      </w:r>
    </w:p>
    <w:p>
      <w:pPr/>
      <w:r>
        <w:rPr/>
        <w:t xml:space="preserve">A jogszabály rendelkezik az úgynevezett „különbözeti szerződésekről" (Contracts for Difference, CFD), illetve az ezekkel azonos hatású, az energetikai beruházások ösztönzésére szolgáló rendszerekről. A CFD-k esetében a hatóság kompenzálja az energiatermelőt, ha a piaci árak túlságosan meredeken esnek, de kifizetéseket gyűjt be tőlük, ha az árak túlságosan magasak. A CFD-k alkalmazása minden új villamosenergia-termelésre irányuló beruházás esetében megengedett lesz, függetlenül attól, hogy megújuló vagy nukleáris energiából származik-e.</w:t>
      </w:r>
    </w:p>
    <w:p>
      <w:pPr/>
      <w:r>
        <w:rPr/>
        <w:t xml:space="preserve">Villamosenergia-árválság</w:t>
      </w:r>
    </w:p>
    <w:p>
      <w:pPr/>
      <w:r>
        <w:rPr/>
        <w:t xml:space="preserve">A szöveg a villamosenergia-árválság bejelentésére szolgáló mechanizmust határoz meg. Nagyon magas árak esetén és bizonyos feltételek mellett az EU regionális vagy uniós szintű villamosenergia-árválságot hirdethet ki, amely lehetővé teszi a tagállamok számára, hogy átmeneti intézkedéseket hozzanak a kkv-k és az energiaigényes ipari fogyasztók villamosenergia-árainak meghatározása érdekében.</w:t>
      </w:r>
    </w:p>
    <w:p>
      <w:pPr/>
      <w:r>
        <w:rPr/>
        <w:t xml:space="preserve">A jelentéstevő szerint</w:t>
      </w:r>
    </w:p>
    <w:p>
      <w:pPr/>
      <w:r>
        <w:rPr/>
        <w:t xml:space="preserve">„Ez a reform a polgárokat helyezi a villamosenergia-piac kialakításának előterébe. A szöveg intézkedéseket tartalmaz a polgárok, különösen a legkiszolgáltatottabbak védelmére és a megújuló energiaforrások elterjedésének felgyorsítására. A Parlament előrelépést tett az energia demokratizálása terén, és olyan piacszerkezetet hozott létre, amely választ ad az energiaválság által feltárt hiányosságokra. Minden fogyasztó, beleértve a mikro-, kis- és középvállalkozásokat is, hosszú távú, megfizethető és stabil árakhoz juthat majd hozzá," - mondta Nicolás González Casares (S&amp;D, Spanyolország) jeléntéstevő.</w:t>
      </w:r>
    </w:p>
    <w:p>
      <w:pPr/>
      <w:r>
        <w:rPr/>
        <w:t xml:space="preserve">A következő lépések</w:t>
      </w:r>
    </w:p>
    <w:p>
      <w:pPr/>
      <w:r>
        <w:rPr/>
        <w:t xml:space="preserve">A Parlament jóváhagyása után a tagállamokból álló Tanácsnak is el kell fogadnia a jogszabályt, hogy az hatályba lépjen.</w:t>
      </w:r>
    </w:p>
    <w:p>
      <w:pPr/>
      <w:r>
        <w:rPr/>
        <w:t xml:space="preserve">Háttér</w:t>
      </w:r>
    </w:p>
    <w:p>
      <w:pPr/>
      <w:r>
        <w:rPr/>
        <w:t xml:space="preserve">Az energiaárak 2021 közepe óta emelkednek, kezdetben a COVID-19 utáni gazdasági fellendülés kontextusában. Az energiaárak azonban meredeken emelkedtek a gázellátási problémák miatt, miután Oroszország 2022 februárjában háborút indított Ukrajna ellen. A magas gázárak azonnali hatást gyakoroltak a villamosenergia-árakra, mivel azok lehívási sorrenden alapuló rendszerben kapcsolódnak egymáshoz, ahol a legdrágább (általában fosszilistüzelőanyag-alapú) energiaforrás határozza meg a teljes villamosenergia-árat.</w:t>
      </w:r>
    </w:p>
    <w:p>
      <w:pPr/>
      <w:r>
        <w:rPr/>
        <w:t xml:space="preserve">REF: 20240408IPR20316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https://hellosajto.hu/12836/az-europai-parlament-elfogadta-az-unios-villamosenergia-piac-reformjat/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6C581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2024-04-12T05:31:26+00:00</dcterms:created>
  <dcterms:modified xsi:type="dcterms:W3CDTF">2024-04-12T05:31:26+00:00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