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Reagálás a jegybank működésével kapcsolatos véleményekre</w:t>
      </w:r>
      <w:bookmarkEnd w:id="0"/>
    </w:p>
    <w:p>
      <w:pPr/>
      <w:r>
        <w:rPr/>
        <w:t xml:space="preserve">A tegnapi napon a hvg.hu portálon megjelent újságcikkben foglaltakkal kapcsolatban az MNB az alábbiakban kíván reagálni.</w:t>
      </w:r>
    </w:p>
    <w:p>
      <w:pPr/>
      <w:r>
        <w:rPr/>
        <w:t xml:space="preserve">A jegybanki működés legfőbb garanciája a politikai és gazdasági függetlenség. A Magyar Nemzeti Bank (MNB) az Alaptörvény, a jegybanktörvény és az MNB Alapokmánya értelmében a feladatai végrehajtása és szakmai döntéseinek meghozatala során csak a jogszabályoknak van alárendelve. A törvényben rögzített feladatai megvalósítása és kötelességei teljesítése során tehát az MNB független. Ennek megfelelően a Magyar Nemzeti Bank működése során arra törekszik, hogy a monetáris politika felelős irányításával és a magyar gazdaság fenntartható növekedését biztosító, kiszámíthatóan működő pénzügyi rendszer támogatásával hozzájáruljon Magyarország nemzetgazdasági érdekeihez és ahogy az eddigiekben, úgy ezután sem enged semmilyen nyomásgyakorlásnak.</w:t>
      </w:r>
    </w:p>
    <w:p>
      <w:pPr/>
      <w:r>
        <w:rPr/>
        <w:t xml:space="preserve">Az MNB felelősen, a törvény által előírt transzparencia biztosításával gazdálkodik, aktuális pénzügyeiről a tájékoztatási kötelezettségeinek rendszeresen eleget tesz. Az MNB működését az Állami Számvevőszék (ÁSZ), valamint - a magyar állam képviselője és a politikai pártok által delegált független tagokból álló - felügyelőbizottság ellenőrzi, miközben az MNB eleget tesz a jegybankról szóló törvényben rögzített rendszeres és eseti tájékoztatási kötelezettségeinek is.</w:t>
      </w:r>
    </w:p>
    <w:p>
      <w:pPr/>
      <w:r>
        <w:rPr/>
        <w:t xml:space="preserve">A jegybank nem kívánja kommentálni a folyamatban lévő Állami Számvevőszék ellenőrzését, ugyanakkor a cikk tartalmával összhangban továbbra is fontosnak tartja kiemelni, hogy a Szabadság téri székházának felújítását 2021. októberében azért kezdte meg, mivel vizsgálatok szerint a közel 120 éves épület műszaki állapota egy külső és belső felújítás nélkül már komoly működési kockázatokat jelentett volna.</w:t>
      </w:r>
    </w:p>
    <w:p>
      <w:pPr/>
      <w:r>
        <w:rPr/>
        <w:t xml:space="preserve">A jegybank a felújítással kapcsolatos döntéseit kizárólag szakmai szempontok alapján, értékelvű megközelítéssel hozta meg, kiemelt figyelmet fordítva a pazarló gazdálkodás elkerülésére. Ennek megfelelően a beruházás megkezdése előtt a jegybank megvizsgálta a hasonló nagyságrendű, műemléki jellegű – akár állami – beruházások műszaki, pénzügyi és jogi megvalósításának módjait és ezen iparági tapasztalatok alapján kezdte el a projekt kivitelezését annak érdekében, hogy a független jegybank a következő évtizedekben is a történelméhez méltó helyen szolgálja Magyarország nemzetgazdasági érdekeit.</w:t>
      </w:r>
    </w:p>
    <w:p>
      <w:pPr/>
      <w:r>
        <w:rPr/>
        <w:t xml:space="preserve">A tervezett jegybanktörvény módosításával kapcsolatban az MNB már számos alkalommal kifejtette a véleményét, és egyetért dr. Windisch Lászlónak, az ÁSZ elnökének azon gondolatával, mely szerint az esetleges „módosításra a jegybank egyetértésével kerüljön sor”. Ahogy az Állami Számvevőszéket idéző cikk is kiemeli: hosszú évek nyereséges működése után az MNB a 2022-es évet követően 2023-ban is veszteséges lesz. Fontos azonban, hogy a veszteség nincs hatással a jegybank törvényi kötelezettségeinek hatékony teljesítésére. A jelenlegi magas veszteség az ország pénzügyi stabilitásának az ára, hiszen az elmúlt három évben szinte a világ összes jegybankjához hasonlóan az MNB is egy magasabb kamatkörnyezettel harcolt az infláció letörése érdekében.</w:t>
      </w:r>
    </w:p>
    <w:p>
      <w:pPr/>
      <w:r>
        <w:rPr/>
        <w:t xml:space="preserve">A cikkben idézett Állami Számvevőszéki állítással ellentétben a hatályos MNB törvényből ugyanakkor nem következik, hogy a jelenlegi jegybanki veszteséget „a központi költségvetésből kell visszapótolni”. Éppen az elmúlt év végén került sor a jegybanktörvény jegybanki veszteségek térítéséről szóló részeinek a módosítására, melynek köszönhetően – az Európai Központi Bank egyetértésével – az átmeneti negatív eredményt a jegybank középtávon várható nyereségéből pótolhatja.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https://hellosajto.hu/12559/reagalas-a-jegybank-mukodesevel-kapcsolatos-velemenyekre/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5DF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2024-04-03T17:21:29+00:00</dcterms:created>
  <dcterms:modified xsi:type="dcterms:W3CDTF">2024-04-03T17:21:29+00:00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