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Újabb két vármegyében azonosították a magas patogenitású madárinfluenzát</w:t>
      </w:r>
      <w:bookmarkEnd w:id="0"/>
    </w:p>
    <w:p>
      <w:pPr/>
      <w:r>
        <w:rPr/>
        <w:t xml:space="preserve">Ezúttal Borsod-Abaúj-Zemplén és Bács-Kiskun vármegyékben igazolta magas patogenitású madárinfluenza vírus jelenlétét a Nemzeti Élelmiszerlánc-biztonsági Hivatal (Nébih) laboratóriuma. Az illetékes hatóságok megkezdték az érintett állományok felszámolását, valamint védő- és felügyeleti körzeteket is kijelöltek.</w:t>
      </w:r>
    </w:p>
    <w:p>
      <w:pPr/>
      <w:r>
        <w:rPr/>
        <w:t xml:space="preserve">A Borsod-Abaúj-Zemplén vármegyei Tiszabábolnán lévő tenyészlúd állományban a megemelkedett elhullás, az állatok bágyadtsága, a takarmány-, és vízfogyasztás csökkenése miatt gyanakodott az állattartó a madárinfluenzára. A Nébih laboratóriuma azonosította a madárinfluenza H5N1 altípusának jelenlétét. A hatóság intézkedett a mintegy 6000 állatot számláló állomány felszámolásával kapcsolatban. Az érintett gazdaság körül kijelölték a 3 km sugarú védőkörzetet, és meghatározták a 10 km sugarú felügyeleti (megfigyelési) körzetet. </w:t>
      </w:r>
    </w:p>
    <w:p>
      <w:pPr/>
      <w:r>
        <w:rPr/>
        <w:t xml:space="preserve">A Bács-Kiskun vármegyei Petőfiszálláson, vágás előtti kötelező tamponmintából mutatta ki a Nébih laboratóriuma a madárinfluenza-fertőzést. Ezt követően a mulardkacsa állományban másnap megemelkedett az elhullás és az állatok bágyadtakká váltak. A nagyságrendileg 7100 állatot számláló állomány felszámolása a holnapi napon veszi kezdetét. Az érintett gazdaság körül itt is kijelölték a 3 km sugarú védőkörzetet, valamint meghatározták a felügyeleti (megfigyelési) körzetet. </w:t>
      </w:r>
    </w:p>
    <w:p>
      <w:pPr/>
      <w:r>
        <w:rPr/>
        <w:t xml:space="preserve">A madárinfluenzával kapcsolatos, további információk elérhetőek a Nébih portál tematikus aloldalán: https://portal.nebih.gov.hu/madarinfluenza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https://hellosajto.hu/8346/ujabb-ket-varmegyeben-azonositottak-a-magas-patogenitasu-madarinfluenzat/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74CC7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2024-03-11T19:40:54+00:00</dcterms:created>
  <dcterms:modified xsi:type="dcterms:W3CDTF">2024-03-11T19:40:54+00:00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