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Könnyítene az Európai Tanács a Vállalatok Fenntarthatósági Átvilágítási kritériumain</w:t>
      </w:r>
      <w:bookmarkEnd w:id="0"/>
    </w:p>
    <w:p>
      <w:pPr/>
      <w:r>
        <w:rPr/>
        <w:t xml:space="preserve">Több hónapnyi halogatás és zárt ajtók mögött folyó egyeztetések után 2024. március 15-én az Európai Tanács elfogadta a Vállalatok Fenntarthatósági Átvilágításáról szóló Irányelvet (Corporate Sustainability Due Diligence Directive), amely röviden, mint CSDDD, vagy CS3D kering a köztudatban több mint két éve.</w:t>
      </w:r>
    </w:p>
    <w:p>
      <w:pPr/>
      <w:r>
        <w:rPr/>
        <w:t xml:space="preserve">A szabályozás célja a környezetvédelem és az emberi jogok védelmének fokozása az EU-ban és világszerte. Az irányelv hatálya alá tartozó vállalatoknak nemcsak a saját működésük, hanem a leányvállalataik és az értékláncukban szereplők (beszállítók) tevékenységében is kötelesek lesznek azonosítani a tényleges és potenciális káros környezeti és emberi jogi hatásokat, és intézkedniük kell ezek megelőzéséről, illetve megszüntetéséről.</w:t>
      </w:r>
    </w:p>
    <w:p>
      <w:pPr/>
      <w:r>
        <w:rPr/>
        <w:t xml:space="preserve">Az irányelv ugyanakkor jelentősen egyszerűsödött a többkörös egyeztetések során, hiszen, míg az eredeti javaslat, minden több, mint 500 alkalmazottal és 150 millió eurós nettó világpiaci forgalommal rendelkező vállalatra vonatkozott volna, addig a végleges változat már csak az 1000 főnél nagyobb és 450 millió eurót meghaladó forgalmú cégeket fedi le (ideértve azon EU-n kívüli vállalatokat is, amelyek EU-ból származó éves forgalma meghaladja a 450 millió eurót). Emellett, a magas kockázatú iparágakra tervezett szigorúbb szabályrendszer is kikerült a végleges verzióból. Ennek eredményeként, az eredetileg tervezett vállalati létszámnak mindössze a 30%-át fedi le az irányelvtervezet.</w:t>
      </w:r>
    </w:p>
    <w:p>
      <w:pPr/>
      <w:r>
        <w:rPr/>
        <w:t xml:space="preserve">Mindemellett, a szabályozás a tervezettnél lassabban kerül bevezetésre:</w:t>
      </w:r>
    </w:p>
    <w:p>
      <w:pPr/>
      <w:r>
        <w:rPr/>
        <w:t xml:space="preserve">az 5000 fő és 1500 millió euró árbevétel feletti vállalatoknak 3 éven belül,</w:t>
      </w:r>
    </w:p>
    <w:p>
      <w:pPr/>
      <w:r>
        <w:rPr/>
        <w:t xml:space="preserve">a 3000 fő és 900 millió euró árbevétel felettieknek 4 éven belül,</w:t>
      </w:r>
    </w:p>
    <w:p>
      <w:pPr/>
      <w:r>
        <w:rPr/>
        <w:t xml:space="preserve">míg az 1000 fő és 450 millió euró árbevétel felettieknek 5 éven belül kell megfelelniük az előírásoknak.</w:t>
      </w:r>
    </w:p>
    <w:p>
      <w:pPr/>
      <w:r>
        <w:rPr/>
        <w:t xml:space="preserve">A polgárjogi felelősség intézménye, amely lehetővé tette volna, hogy szakszervezetek is peres eljárást indíthassanak a szabályozásnak nem megfelelő cégek ellen, szintén kikerült az elfogadott változatból. A tervezet ugyanakkor kitér a nagyvállalatok által átvilágított KKV-kra is. Amennyiben a jogszabály, és így a nagyvállalat által elvárt környezeti, illetve emberijogi megfelelés teljesítése veszélyeztetné a KKV működését, úgy a nagyvállalatoknak célzott és arányos pénzügyi támogatás nyújtásával is támogatniuk kell a KKV-kat, például közvetlen finanszírozással, alacsony kamatozású kölcsönökkel, a folyamatos beszerzésre vonatkozó garanciákkal, vagy a finanszírozás biztosításának támogatásával.</w:t>
      </w:r>
    </w:p>
    <w:p>
      <w:pPr/>
      <w:r>
        <w:rPr/>
        <w:t xml:space="preserve">Az irányelv azonban a Tanács elfogadásával még nem ért célba, hiszen az Európai Parlamentnek is el kell fogadnia azt, ami a jogszabálytervezetet övező turbulens politikai környezetben korántsem borítékolható.</w:t>
      </w:r>
    </w:p>
    <w:p>
      <w:pPr/>
      <w:r>
        <w:rPr/>
        <w:t xml:space="preserve">A hazai ESG szabályozás ugyanakkor sok szempontból már az EU előtt jár, hiszen 2023. december 22-én elfogadásra került az úgynevezett magyar ESG törvény, amely részben a szóban forgó CSDDD, részben a tavaly júliusban elfogadott CSRD[1] hazai implementációjának tekinthető, és jövő évtől már minden nagyvállalatra kiterjed, amely a következő három küszöbérték közül legalább kettőt meghalad: 250 fős létszám, 20 milliárd Ft árbevétel, 10 milliárd Ft mérlegfőösszeg. Kérdés, hogy a március 15-én elfogadott „egyszerűsített” CSDDD lesz-e hatással a hazai szabályozásra.</w:t>
      </w:r>
    </w:p>
    <w:p>
      <w:pPr/>
      <w:r>
        <w:rPr/>
        <w:t xml:space="preserve">[1] A CSRD- Corporate Sustainability Reporting Directive a nagyvállalatok fenntarthatósági (ESG) szempontú jelentéstételét teszi kötelezővé és szabályozza: Az ESG jelentések új szintre lépnek, KPMG Blog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Nagy Julianna, Szenior menedzser</w:t>
      </w:r>
    </w:p>
    <w:p>
      <w:pPr>
        <w:numPr>
          <w:ilvl w:val="0"/>
          <w:numId w:val="1"/>
        </w:numPr>
      </w:pPr>
      <w:r>
        <w:rPr/>
        <w:t xml:space="preserve">KPMG in Hungary</w:t>
      </w:r>
    </w:p>
    <w:p>
      <w:pPr>
        <w:numPr>
          <w:ilvl w:val="0"/>
          <w:numId w:val="1"/>
        </w:numPr>
      </w:pPr>
      <w:r>
        <w:rPr/>
        <w:t xml:space="preserve">+36 1 887 7100</w:t>
      </w:r>
    </w:p>
    <w:p>
      <w:pPr/>
      <w:r>
        <w:rPr/>
        <w:t xml:space="preserve">Eredeti tartalom: KPMG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https://hellosajto.hu/12326/konnyitene-az-europai-tanacs-a-vallalatok-fenntarthatosagi-atvilagitasi-kriteriumain/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2024-03-21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KPMG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59B7E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2024-03-21T15:44:25+00:00</dcterms:created>
  <dcterms:modified xsi:type="dcterms:W3CDTF">2024-03-21T15:44:25+00:00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