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Hibákat ejtett az értékvesztésnél és az ügyfélcsoport-képzésnél az MFB Bank</w:t>
      </w:r>
      <w:bookmarkEnd w:id="0"/>
    </w:p>
    <w:p>
      <w:pPr/>
      <w:r>
        <w:rPr/>
        <w:t xml:space="preserve">Az MNB vizsgálata nyomán összesen 28,5 millió forint bírságot szabott ki az MFB Bankra a vállalatirányítás, hitelkockázat, modell alapú értékvesztés módszertana, tőkemegfelelés, illetve az IT-biztonság terén megállapított hiányosságok miatt. A feltárt problémák mielőbbi kiküszöbölésére van szükség.</w:t>
      </w:r>
    </w:p>
    <w:p>
      <w:pPr/>
      <w:r>
        <w:rPr/>
        <w:t xml:space="preserve">A Magyar Nemzeti Bank (MNB) – helyszíni ellenőrzést is magában foglaló – vizsgálatot folytatott az MFB Magyar Fejlesztési Bank Zrt.-nél (MFB Bank) áttekintve annak 2020. március 31-től a határozat meghozatalának időpontjáig terjedő működését. A pénzügyi felügyelet MFB Bankkal szembeni felügyeleti jogosítványai rendkívül szűkre szabottak az utóbbira vonatkozó törvény hatályos szövege alapján. Ez ugyanis kimondja, hogy a bank által végzett pénzügyi szolgáltatási tevékenység kapcsán az uniós tőkekövetelmény-rendelet (CRR) rendelkezéseit az MFB törvényben foglalt eltéréssel kell alkalmazni.</w:t>
      </w:r>
    </w:p>
    <w:p>
      <w:pPr/>
      <w:r>
        <w:rPr/>
        <w:t xml:space="preserve">Az MNB megállapította, hogy a bank nem megfelelően alakította ki a kiszervezett tevékenységekkel foglalkozó szervezetét, és annak feladatait helytelenül rögzítette a szervezeti és működési szabályzatában. Tartalmi kiegészítésre szorul a kiszervezési tevékenységre vonatkozó szabályozás, és ki kell egészíteni az arra vonatkozó nyilvántartást is. A belső ellenőrzés szükségesnél alacsonyabb létszáma nem tette lehetővé az előírt munkaterv teljeskörű végrehajtását. Az általuk tett megállapításokhoz kapcsolódó intézkedéseket nem minden esetben hajtották végre határidőben, s ennek kikényszerítésére a terület nem kapta meg a szükséges segítséget a bank felügyelő bizottságától.</w:t>
      </w:r>
    </w:p>
    <w:p>
      <w:pPr/>
      <w:r>
        <w:rPr/>
        <w:t xml:space="preserve">Az MFB Bank nem az előírások szerint végezte az ügyfélcsoport-összerendeléseket, nem volt önálló ügyfélcsoport-képzési szabályzata, vállalati (ügyfél)minősítő rendszerében pedig módszertani hibákat követett el. A fedezetnyilvántartó alaprendszer pontatlan képet adott a zálogjoggal terhelt fedezetek értékéről, valamint az ingóságok fedezeti allokálása sem működött megfelelően. A monitoring tevékenységet érintő éves felülvizsgálatok határidőben történő elvégzésére a hitelintézet nem fektetett kellő hangsúlyt. Nem volt teljeskörű a problémás ügyletek kezelését meghatározó szabályozás, mivel egyes ágazati hiteleknél nem rögzítették az ellenőrzési folyamat feladatait, gyakoriságát és módszertanát.</w:t>
      </w:r>
    </w:p>
    <w:p>
      <w:pPr/>
      <w:r>
        <w:rPr/>
        <w:t xml:space="preserve">A bank által a hitelek teljes futamidejére alkalmazott, a nemteljesítés valószínűségére vonatkozó adatsorok nem voltak reprezentatívak a vizsgált időpontban aktuális kedvezőtlen gazdasági körülményekre. Az IFRS 9 csoportos értékvesztés-képzés során nem valósult meg a különböző lehetséges kimenetelek értékelése, s az értékvesztés összegét nem az egyes kimenetelek menti várható hitelezési veszteségek súlyozott összegeként számolták ki. A tőkemegfelelés kapcsán a bank helytelen kockázati súlyokat alkalmazott a vállalati kitettségeknél, jelzáloglevél-állományát pedig hibás kitettségi osztályba sorolta. Az informatika (IT) területén naplózási hiányosságot állapított meg az MNB, illetve azt, hogy a bank nem végzett teljes körű sérülékenységi vizsgálatot IT-eszközei teljes palettáján.</w:t>
      </w:r>
    </w:p>
    <w:p>
      <w:pPr/>
      <w:r>
        <w:rPr/>
        <w:t xml:space="preserve">A jogsértések miatt az MNB 28,5 millió forint felügyeleti bírságot szabott ki az MFB Bankra, előírva azt is, hogy határidőre szüntesse meg a feltárt hiányosságokat. A feltárt problémák nem hatottak negatívan a pénzpiac egyéb szereplőire, illetve az ügyfelekre.</w:t>
      </w:r>
    </w:p>
    <w:p>
      <w:pPr/>
      <w:r>
        <w:rPr/>
        <w:t xml:space="preserve">A Magyar Nemzeti Bank H-JÉ-I-B-50/2024. számú határozata az MFB Magyar Fejlesztési Bank Zártkörűen Működő Részvénytársaságnál lefolytatott átfogó vizsgálat lezárásáról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https://hellosajto.hu/12117/hibakat-ejtett-az-ertekvesztesnel-es-az-ugyfelcsoport-kepzesnel-az-mfb-bank/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4C0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2024-03-12T17:11:24+00:00</dcterms:created>
  <dcterms:modified xsi:type="dcterms:W3CDTF">2024-03-12T17:11:24+00:00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